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C5BD4" w14:textId="3EBF61FD" w:rsidR="00D0573B" w:rsidRPr="00660DB2"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660DB2">
        <w:rPr>
          <w:rFonts w:cs="Arial"/>
          <w:b/>
          <w:sz w:val="22"/>
          <w:szCs w:val="22"/>
          <w:lang w:val="en-US"/>
        </w:rPr>
        <w:t>3GPP TSG-RAN WG2 #</w:t>
      </w:r>
      <w:r w:rsidR="00C749EF" w:rsidRPr="00660DB2">
        <w:rPr>
          <w:rFonts w:cs="Arial"/>
          <w:b/>
          <w:sz w:val="22"/>
          <w:szCs w:val="22"/>
          <w:lang w:val="en-US"/>
        </w:rPr>
        <w:t>1</w:t>
      </w:r>
      <w:r w:rsidR="00FC6387">
        <w:rPr>
          <w:rFonts w:cs="Arial"/>
          <w:b/>
          <w:sz w:val="22"/>
          <w:szCs w:val="22"/>
          <w:lang w:val="en-US"/>
        </w:rPr>
        <w:t>2</w:t>
      </w:r>
      <w:r w:rsidR="00F82C1A">
        <w:rPr>
          <w:rFonts w:cs="Arial"/>
          <w:b/>
          <w:sz w:val="22"/>
          <w:szCs w:val="22"/>
          <w:lang w:val="en-US"/>
        </w:rPr>
        <w:t>1</w:t>
      </w:r>
      <w:r w:rsidRPr="00660DB2">
        <w:rPr>
          <w:rFonts w:cs="Arial"/>
          <w:b/>
          <w:i/>
          <w:sz w:val="22"/>
          <w:szCs w:val="22"/>
          <w:lang w:val="en-US"/>
        </w:rPr>
        <w:tab/>
      </w:r>
      <w:r w:rsidR="00B01107" w:rsidRPr="00660DB2">
        <w:rPr>
          <w:rFonts w:cs="Arial"/>
          <w:b/>
          <w:i/>
          <w:sz w:val="22"/>
          <w:szCs w:val="22"/>
          <w:lang w:val="en-US" w:eastAsia="zh-CN"/>
        </w:rPr>
        <w:t>R2-</w:t>
      </w:r>
      <w:r w:rsidR="00FE0392" w:rsidRPr="00FE0392">
        <w:rPr>
          <w:rFonts w:cs="Arial"/>
          <w:b/>
          <w:i/>
          <w:sz w:val="22"/>
          <w:szCs w:val="22"/>
          <w:lang w:val="en-US" w:eastAsia="zh-CN"/>
        </w:rPr>
        <w:t>2300137</w:t>
      </w:r>
    </w:p>
    <w:p w14:paraId="540B9A86" w14:textId="7344593B" w:rsidR="00D0573B" w:rsidRPr="00660DB2" w:rsidRDefault="00F82C1A">
      <w:pPr>
        <w:tabs>
          <w:tab w:val="left" w:pos="1701"/>
          <w:tab w:val="right" w:pos="9639"/>
        </w:tabs>
        <w:spacing w:after="0"/>
        <w:rPr>
          <w:rFonts w:cs="Arial"/>
          <w:b/>
          <w:color w:val="000000"/>
          <w:kern w:val="2"/>
          <w:sz w:val="24"/>
        </w:rPr>
      </w:pPr>
      <w:r>
        <w:rPr>
          <w:rFonts w:cs="Arial"/>
          <w:b/>
          <w:sz w:val="22"/>
          <w:szCs w:val="22"/>
          <w:lang w:val="en-US"/>
        </w:rPr>
        <w:t>Athens</w:t>
      </w:r>
      <w:r w:rsidR="00FC6387">
        <w:rPr>
          <w:rFonts w:cs="Arial"/>
          <w:b/>
          <w:sz w:val="22"/>
          <w:szCs w:val="22"/>
          <w:lang w:val="en-US"/>
        </w:rPr>
        <w:t xml:space="preserve">, </w:t>
      </w:r>
      <w:r>
        <w:rPr>
          <w:rFonts w:cs="Arial"/>
          <w:b/>
          <w:sz w:val="22"/>
          <w:szCs w:val="22"/>
          <w:lang w:val="en-US"/>
        </w:rPr>
        <w:t>Greece</w:t>
      </w:r>
      <w:r w:rsidR="00D0573B" w:rsidRPr="00660DB2">
        <w:rPr>
          <w:rFonts w:cs="Arial"/>
          <w:b/>
          <w:sz w:val="22"/>
          <w:szCs w:val="22"/>
          <w:lang w:val="en-US"/>
        </w:rPr>
        <w:t xml:space="preserve">, </w:t>
      </w:r>
      <w:r>
        <w:rPr>
          <w:rFonts w:cs="Arial"/>
          <w:b/>
          <w:sz w:val="22"/>
          <w:szCs w:val="22"/>
          <w:lang w:val="en-US"/>
        </w:rPr>
        <w:t>Feb</w:t>
      </w:r>
      <w:r w:rsidR="00FE0392">
        <w:rPr>
          <w:rFonts w:cs="Arial"/>
          <w:b/>
          <w:sz w:val="22"/>
          <w:szCs w:val="22"/>
          <w:lang w:val="en-US"/>
        </w:rPr>
        <w:t>ru</w:t>
      </w:r>
      <w:r>
        <w:rPr>
          <w:rFonts w:cs="Arial"/>
          <w:b/>
          <w:sz w:val="22"/>
          <w:szCs w:val="22"/>
          <w:lang w:val="en-US"/>
        </w:rPr>
        <w:t>ary</w:t>
      </w:r>
      <w:r w:rsidR="00660DB2" w:rsidRPr="00660DB2">
        <w:rPr>
          <w:rFonts w:cs="Arial"/>
          <w:b/>
          <w:sz w:val="22"/>
          <w:szCs w:val="22"/>
          <w:lang w:val="en-US"/>
        </w:rPr>
        <w:t xml:space="preserve"> </w:t>
      </w:r>
      <w:r w:rsidR="00D0573B" w:rsidRPr="00660DB2">
        <w:rPr>
          <w:rFonts w:cs="Arial"/>
          <w:b/>
          <w:sz w:val="22"/>
          <w:szCs w:val="22"/>
          <w:lang w:val="en-US"/>
        </w:rPr>
        <w:t>202</w:t>
      </w:r>
      <w:r>
        <w:rPr>
          <w:rFonts w:cs="Arial"/>
          <w:b/>
          <w:sz w:val="22"/>
          <w:szCs w:val="22"/>
          <w:lang w:val="en-US"/>
        </w:rPr>
        <w:t>3</w:t>
      </w:r>
      <w:r w:rsidR="00D0573B" w:rsidRPr="00660DB2">
        <w:rPr>
          <w:rFonts w:cs="Arial"/>
          <w:b/>
          <w:sz w:val="22"/>
          <w:szCs w:val="22"/>
          <w:lang w:val="en-US"/>
        </w:rPr>
        <w:tab/>
      </w:r>
      <w:bookmarkEnd w:id="0"/>
      <w:bookmarkEnd w:id="1"/>
      <w:bookmarkEnd w:id="2"/>
      <w:bookmarkEnd w:id="3"/>
    </w:p>
    <w:p w14:paraId="5C33DD98" w14:textId="77777777" w:rsidR="00D0573B" w:rsidRPr="00660DB2" w:rsidRDefault="00D0573B">
      <w:pPr>
        <w:tabs>
          <w:tab w:val="left" w:pos="1701"/>
          <w:tab w:val="right" w:pos="9639"/>
        </w:tabs>
        <w:spacing w:before="100" w:beforeAutospacing="1" w:after="100" w:afterAutospacing="1"/>
        <w:rPr>
          <w:rFonts w:cs="Arial"/>
          <w:b/>
          <w:color w:val="000000"/>
          <w:kern w:val="2"/>
          <w:sz w:val="24"/>
        </w:rPr>
      </w:pPr>
    </w:p>
    <w:p w14:paraId="4CC90508" w14:textId="27307E38" w:rsidR="00D0573B" w:rsidRDefault="00D0573B">
      <w:pPr>
        <w:pStyle w:val="3GPPHeader"/>
        <w:rPr>
          <w:sz w:val="22"/>
          <w:szCs w:val="22"/>
        </w:rPr>
      </w:pPr>
      <w:r w:rsidRPr="00660DB2">
        <w:rPr>
          <w:sz w:val="22"/>
          <w:szCs w:val="22"/>
        </w:rPr>
        <w:t>Agenda Item:</w:t>
      </w:r>
      <w:r w:rsidRPr="00660DB2">
        <w:rPr>
          <w:sz w:val="22"/>
          <w:szCs w:val="22"/>
        </w:rPr>
        <w:tab/>
      </w:r>
      <w:r w:rsidR="00564D51" w:rsidRPr="00660DB2">
        <w:rPr>
          <w:sz w:val="22"/>
          <w:szCs w:val="22"/>
        </w:rPr>
        <w:t>6.</w:t>
      </w:r>
      <w:r w:rsidR="00FE0392">
        <w:rPr>
          <w:sz w:val="22"/>
          <w:szCs w:val="22"/>
        </w:rPr>
        <w:t>5</w:t>
      </w:r>
      <w:r w:rsidR="005C0030" w:rsidRPr="00660DB2">
        <w:rPr>
          <w:sz w:val="22"/>
          <w:szCs w:val="22"/>
        </w:rPr>
        <w:t>.2</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6FFCC675" w:rsidR="00D0573B" w:rsidRDefault="00D0573B">
      <w:pPr>
        <w:pStyle w:val="3GPPHeader"/>
        <w:rPr>
          <w:sz w:val="22"/>
          <w:szCs w:val="22"/>
        </w:rPr>
      </w:pPr>
      <w:r>
        <w:rPr>
          <w:sz w:val="22"/>
          <w:szCs w:val="22"/>
        </w:rPr>
        <w:t>Title:</w:t>
      </w:r>
      <w:r>
        <w:rPr>
          <w:sz w:val="22"/>
          <w:szCs w:val="22"/>
        </w:rPr>
        <w:tab/>
      </w:r>
      <w:r w:rsidR="001C56D7" w:rsidRPr="001C56D7">
        <w:rPr>
          <w:sz w:val="22"/>
          <w:szCs w:val="22"/>
        </w:rPr>
        <w:t>Discussion o</w:t>
      </w:r>
      <w:r w:rsidR="00B878DE">
        <w:rPr>
          <w:rFonts w:hint="eastAsia"/>
          <w:sz w:val="22"/>
          <w:szCs w:val="22"/>
        </w:rPr>
        <w:t>n</w:t>
      </w:r>
      <w:r w:rsidR="00B878DE">
        <w:rPr>
          <w:sz w:val="22"/>
          <w:szCs w:val="22"/>
        </w:rPr>
        <w:t xml:space="preserve"> left issues for CP</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rsidP="00D7189E">
      <w:pPr>
        <w:spacing w:beforeLines="50" w:before="120"/>
      </w:pPr>
    </w:p>
    <w:p w14:paraId="343FBF36" w14:textId="741E256E" w:rsidR="00D0573B" w:rsidRDefault="00D0573B">
      <w:pPr>
        <w:pStyle w:val="1"/>
      </w:pPr>
      <w:bookmarkStart w:id="4" w:name="_Ref488331639"/>
      <w:r>
        <w:t>Introduction</w:t>
      </w:r>
      <w:bookmarkEnd w:id="4"/>
    </w:p>
    <w:p w14:paraId="438EE572" w14:textId="0A66FCFE" w:rsidR="00FA768F" w:rsidRPr="00FA768F" w:rsidRDefault="00FA768F" w:rsidP="00FA768F">
      <w:r>
        <w:t xml:space="preserve">This is to discuss the left issue for </w:t>
      </w:r>
      <w:r w:rsidR="00FE0392">
        <w:t xml:space="preserve">the </w:t>
      </w:r>
      <w:r>
        <w:t>control plane.</w:t>
      </w:r>
    </w:p>
    <w:p w14:paraId="23312DF5" w14:textId="40F62467" w:rsidR="00D0573B" w:rsidRDefault="00F82C1A" w:rsidP="005662A3">
      <w:pPr>
        <w:pStyle w:val="1"/>
        <w:ind w:left="720" w:hangingChars="200" w:hanging="720"/>
        <w:jc w:val="both"/>
      </w:pPr>
      <w:r>
        <w:t>Discussion</w:t>
      </w:r>
    </w:p>
    <w:p w14:paraId="3DDF5C0F" w14:textId="43077CEA" w:rsidR="00542C6E" w:rsidRPr="00542C6E" w:rsidRDefault="00542C6E" w:rsidP="00542C6E">
      <w:r>
        <w:rPr>
          <w:rFonts w:hint="eastAsia"/>
        </w:rPr>
        <w:t>I</w:t>
      </w:r>
      <w:r>
        <w:t>n R2#120, the following issue was discussed.</w:t>
      </w:r>
    </w:p>
    <w:p w14:paraId="00577B68" w14:textId="77777777" w:rsidR="00F82C1A" w:rsidRDefault="00000000" w:rsidP="00F82C1A">
      <w:pPr>
        <w:pStyle w:val="Doc-title"/>
        <w:pBdr>
          <w:top w:val="single" w:sz="4" w:space="1" w:color="auto"/>
          <w:left w:val="single" w:sz="4" w:space="4" w:color="auto"/>
          <w:bottom w:val="single" w:sz="4" w:space="1" w:color="auto"/>
          <w:right w:val="single" w:sz="4" w:space="4" w:color="auto"/>
        </w:pBdr>
        <w:ind w:left="0" w:firstLine="0"/>
      </w:pPr>
      <w:hyperlink r:id="rId11" w:tooltip="C:Usersmtk16923Documents3GPP Meetings202211 - RAN2_120, ToulouseExtractsR2-2213117 [Pre120][402][Relay] Summary of agenda item 6.7.2.docx" w:history="1">
        <w:r w:rsidR="00F82C1A" w:rsidRPr="00F46C76">
          <w:rPr>
            <w:rStyle w:val="a5"/>
          </w:rPr>
          <w:t>R2-2213117</w:t>
        </w:r>
      </w:hyperlink>
      <w:r w:rsidR="00F82C1A">
        <w:tab/>
      </w:r>
      <w:r w:rsidR="00F82C1A" w:rsidRPr="00C6299E">
        <w:t>[Pre120][402][Relay] Summary of agenda item 6.7.2 on relay control plane (Huawei)</w:t>
      </w:r>
      <w:r w:rsidR="00F82C1A">
        <w:tab/>
        <w:t>Huawei, HiSilicon</w:t>
      </w:r>
      <w:r w:rsidR="00F82C1A">
        <w:tab/>
        <w:t>discussion</w:t>
      </w:r>
      <w:r w:rsidR="00F82C1A">
        <w:tab/>
        <w:t>Rel-17</w:t>
      </w:r>
      <w:r w:rsidR="00F82C1A">
        <w:tab/>
        <w:t>NR_SL_relay-Core</w:t>
      </w:r>
    </w:p>
    <w:p w14:paraId="0223B716" w14:textId="3EA5F7A2" w:rsidR="00F82C1A" w:rsidRDefault="00F82C1A" w:rsidP="00F82C1A">
      <w:pPr>
        <w:pBdr>
          <w:top w:val="single" w:sz="4" w:space="1" w:color="auto"/>
          <w:left w:val="single" w:sz="4" w:space="4" w:color="auto"/>
          <w:bottom w:val="single" w:sz="4" w:space="1" w:color="auto"/>
          <w:right w:val="single" w:sz="4" w:space="4" w:color="auto"/>
        </w:pBdr>
      </w:pPr>
    </w:p>
    <w:p w14:paraId="7AF6E801" w14:textId="77777777" w:rsidR="00F82C1A" w:rsidRDefault="00F82C1A" w:rsidP="00F82C1A">
      <w:pPr>
        <w:pStyle w:val="Doc-text2"/>
        <w:pBdr>
          <w:top w:val="single" w:sz="4" w:space="1" w:color="auto"/>
          <w:left w:val="single" w:sz="4" w:space="4" w:color="auto"/>
          <w:bottom w:val="single" w:sz="4" w:space="1" w:color="auto"/>
          <w:right w:val="single" w:sz="4" w:space="4" w:color="auto"/>
        </w:pBdr>
        <w:ind w:left="0" w:firstLine="0"/>
      </w:pPr>
      <w:r>
        <w:t>Proposal 8: RAN2 can discuss the following if time allows:</w:t>
      </w:r>
    </w:p>
    <w:p w14:paraId="4ED15A25" w14:textId="77777777" w:rsidR="00F82C1A" w:rsidRDefault="00F82C1A" w:rsidP="00F82C1A">
      <w:pPr>
        <w:pStyle w:val="Doc-text2"/>
        <w:pBdr>
          <w:top w:val="single" w:sz="4" w:space="1" w:color="auto"/>
          <w:left w:val="single" w:sz="4" w:space="4" w:color="auto"/>
          <w:bottom w:val="single" w:sz="4" w:space="1" w:color="auto"/>
          <w:right w:val="single" w:sz="4" w:space="4" w:color="auto"/>
        </w:pBdr>
        <w:ind w:left="0" w:firstLine="0"/>
      </w:pPr>
      <w:r>
        <w:t>–</w:t>
      </w:r>
      <w:r>
        <w:tab/>
        <w:t>B: OOC Remote UE in RRC_IDLE/INACTIVE can use preconfigured resource if the forwarded SIB12 doesn’t include normal pool and exception pool, from the moment the UE initiates RRC connection establishment or RRC connection resume, until receiving an RRCReconfiguration including sl-ConfigDedicatedNR, or receiving an RRCRelease or an RRCReject.</w:t>
      </w:r>
    </w:p>
    <w:p w14:paraId="0019DB18" w14:textId="4447099B" w:rsidR="00F82C1A" w:rsidRDefault="00F82C1A" w:rsidP="00F82C1A">
      <w:pPr>
        <w:pBdr>
          <w:top w:val="single" w:sz="4" w:space="1" w:color="auto"/>
          <w:left w:val="single" w:sz="4" w:space="4" w:color="auto"/>
          <w:bottom w:val="single" w:sz="4" w:space="1" w:color="auto"/>
          <w:right w:val="single" w:sz="4" w:space="4" w:color="auto"/>
        </w:pBdr>
      </w:pPr>
    </w:p>
    <w:p w14:paraId="1526A8C6" w14:textId="77777777" w:rsidR="00F82C1A" w:rsidRDefault="00F82C1A" w:rsidP="00F82C1A">
      <w:pPr>
        <w:pStyle w:val="Doc-text2"/>
        <w:pBdr>
          <w:top w:val="single" w:sz="4" w:space="1" w:color="auto"/>
          <w:left w:val="single" w:sz="4" w:space="4" w:color="auto"/>
          <w:bottom w:val="single" w:sz="4" w:space="1" w:color="auto"/>
          <w:right w:val="single" w:sz="4" w:space="4" w:color="auto"/>
        </w:pBdr>
        <w:ind w:left="0" w:firstLine="0"/>
      </w:pPr>
      <w:r>
        <w:t>On P8B, Apple wonder if this is really a critical issue; a gNB would normally configure the pools, and they see this as more of a misconfiguration.  Ericsson think we cannot force the gNB to always provide the pools; it is up to gNB implementation, and this CR addresses the case where the gNB does not provide it.</w:t>
      </w:r>
    </w:p>
    <w:p w14:paraId="07257B7D" w14:textId="77777777" w:rsidR="00F82C1A" w:rsidRDefault="00F82C1A" w:rsidP="00F82C1A">
      <w:pPr>
        <w:pStyle w:val="Doc-text2"/>
        <w:pBdr>
          <w:top w:val="single" w:sz="4" w:space="1" w:color="auto"/>
          <w:left w:val="single" w:sz="4" w:space="4" w:color="auto"/>
          <w:bottom w:val="single" w:sz="4" w:space="1" w:color="auto"/>
          <w:right w:val="single" w:sz="4" w:space="4" w:color="auto"/>
        </w:pBdr>
        <w:ind w:left="0" w:firstLine="0"/>
      </w:pPr>
      <w:r>
        <w:t>Xiaomi understand that there is a view that the network can always provide the pools, but they see this as an unreasonable restriction on the network, and they think preconfiguration should be allowed in this case; they do not consider that this breaks the legacy principle of operation, since it only allows the UE OOC to use preconfiguration.</w:t>
      </w:r>
    </w:p>
    <w:p w14:paraId="43FF2FCB" w14:textId="77777777" w:rsidR="00F82C1A" w:rsidRDefault="00F82C1A" w:rsidP="00F82C1A">
      <w:pPr>
        <w:pStyle w:val="Doc-text2"/>
        <w:pBdr>
          <w:top w:val="single" w:sz="4" w:space="1" w:color="auto"/>
          <w:left w:val="single" w:sz="4" w:space="4" w:color="auto"/>
          <w:bottom w:val="single" w:sz="4" w:space="1" w:color="auto"/>
          <w:right w:val="single" w:sz="4" w:space="4" w:color="auto"/>
        </w:pBdr>
        <w:ind w:left="0" w:firstLine="0"/>
      </w:pPr>
      <w:r>
        <w:t>Huawei agree with Apple that this is not a very reasonable network behaviour.  On Xiaomi’s comment that the proposal is only applicable OOC, they do not agree since the IC case has the same situation and the remote UE may need to obtain the configuration from SIB12.  MediaTek and Qualcomm agree with Huawei.</w:t>
      </w:r>
    </w:p>
    <w:p w14:paraId="2FD9603B" w14:textId="77777777" w:rsidR="00F82C1A" w:rsidRDefault="00F82C1A" w:rsidP="00F82C1A">
      <w:pPr>
        <w:pStyle w:val="Doc-text2"/>
        <w:pBdr>
          <w:top w:val="single" w:sz="4" w:space="1" w:color="auto"/>
          <w:left w:val="single" w:sz="4" w:space="4" w:color="auto"/>
          <w:bottom w:val="single" w:sz="4" w:space="1" w:color="auto"/>
          <w:right w:val="single" w:sz="4" w:space="4" w:color="auto"/>
        </w:pBdr>
        <w:ind w:left="0" w:firstLine="0"/>
      </w:pPr>
      <w:r>
        <w:t>OPPO have the same view as Huawei; they understand that previously we had the exceptional pool in SIB12, and this CR introduces a case where the UE would need to use preconfiguration IC.  If we allow this, they understand that the historical rule in this respect would be changed.</w:t>
      </w:r>
    </w:p>
    <w:p w14:paraId="414D76F9" w14:textId="77777777" w:rsidR="00F82C1A" w:rsidRDefault="00F82C1A" w:rsidP="00F82C1A">
      <w:pPr>
        <w:pStyle w:val="Doc-text2"/>
        <w:pBdr>
          <w:top w:val="single" w:sz="4" w:space="1" w:color="auto"/>
          <w:left w:val="single" w:sz="4" w:space="4" w:color="auto"/>
          <w:bottom w:val="single" w:sz="4" w:space="1" w:color="auto"/>
          <w:right w:val="single" w:sz="4" w:space="4" w:color="auto"/>
        </w:pBdr>
        <w:ind w:left="0" w:firstLine="0"/>
      </w:pPr>
      <w:r>
        <w:t>Ericsson clarify that the intention of the proposal is for IC UEs to go to connected mode to get the pools from dedicated signalling.</w:t>
      </w:r>
    </w:p>
    <w:p w14:paraId="53DA097E" w14:textId="77777777" w:rsidR="00F82C1A" w:rsidRDefault="00F82C1A" w:rsidP="00F82C1A">
      <w:pPr>
        <w:pStyle w:val="Doc-text2"/>
        <w:pBdr>
          <w:top w:val="single" w:sz="4" w:space="1" w:color="auto"/>
          <w:left w:val="single" w:sz="4" w:space="4" w:color="auto"/>
          <w:bottom w:val="single" w:sz="4" w:space="1" w:color="auto"/>
          <w:right w:val="single" w:sz="4" w:space="4" w:color="auto"/>
        </w:pBdr>
        <w:ind w:left="0" w:firstLine="0"/>
      </w:pPr>
      <w:r>
        <w:t>Apple want to understand why this proposal for IC UEs does not defeat the purpose of using a relay; they think it is still more correct for the network to configure the pools.</w:t>
      </w:r>
    </w:p>
    <w:p w14:paraId="6EAB1B36" w14:textId="77777777" w:rsidR="00F82C1A" w:rsidRDefault="00F82C1A" w:rsidP="00F82C1A">
      <w:pPr>
        <w:pStyle w:val="Doc-text2"/>
        <w:pBdr>
          <w:top w:val="single" w:sz="4" w:space="1" w:color="auto"/>
          <w:left w:val="single" w:sz="4" w:space="4" w:color="auto"/>
          <w:bottom w:val="single" w:sz="4" w:space="1" w:color="auto"/>
          <w:right w:val="single" w:sz="4" w:space="4" w:color="auto"/>
        </w:pBdr>
        <w:ind w:left="0" w:firstLine="0"/>
      </w:pPr>
      <w:r>
        <w:t>Xiaomi understand for the IC UE, the UE should reselect to the cell and not depend on the relay any more, but the OOC UE would be able to use preconfiguration.</w:t>
      </w:r>
    </w:p>
    <w:p w14:paraId="353FCACC" w14:textId="77777777" w:rsidR="00F82C1A" w:rsidRDefault="00F82C1A" w:rsidP="00F82C1A">
      <w:pPr>
        <w:pStyle w:val="Doc-text2"/>
        <w:pBdr>
          <w:top w:val="single" w:sz="4" w:space="1" w:color="auto"/>
          <w:left w:val="single" w:sz="4" w:space="4" w:color="auto"/>
          <w:bottom w:val="single" w:sz="4" w:space="1" w:color="auto"/>
          <w:right w:val="single" w:sz="4" w:space="4" w:color="auto"/>
        </w:pBdr>
        <w:ind w:left="0" w:firstLine="0"/>
      </w:pPr>
      <w:r>
        <w:t>Huawei think this proposal has been discussed several times on the reflector and pursuing it further would not be so helpful.</w:t>
      </w:r>
    </w:p>
    <w:p w14:paraId="74484FB4" w14:textId="0A71DC97" w:rsidR="00F82C1A" w:rsidRDefault="00542C6E" w:rsidP="00F82C1A">
      <w:pPr>
        <w:spacing w:beforeLines="50" w:before="120"/>
      </w:pPr>
      <w:r>
        <w:rPr>
          <w:rFonts w:hint="eastAsia"/>
        </w:rPr>
        <w:t>T</w:t>
      </w:r>
      <w:r>
        <w:t xml:space="preserve">here are generally two aspects </w:t>
      </w:r>
      <w:r w:rsidR="00FE0392">
        <w:t>to</w:t>
      </w:r>
      <w:r>
        <w:t xml:space="preserve"> this issue.</w:t>
      </w:r>
    </w:p>
    <w:p w14:paraId="3B983E4B" w14:textId="388B1D73" w:rsidR="00542C6E" w:rsidRDefault="00542C6E" w:rsidP="00542C6E">
      <w:pPr>
        <w:pStyle w:val="af7"/>
        <w:numPr>
          <w:ilvl w:val="0"/>
          <w:numId w:val="17"/>
        </w:numPr>
        <w:spacing w:beforeLines="50" w:before="120"/>
      </w:pPr>
      <w:r>
        <w:t xml:space="preserve">Scenario-1: Remote UE is in-coverage, and no exceptional pool is provided in SIB, whether it can make use of pre-configuration or not. </w:t>
      </w:r>
    </w:p>
    <w:p w14:paraId="4BF58C8F" w14:textId="0B7412A4" w:rsidR="00542C6E" w:rsidRDefault="00542C6E" w:rsidP="00542C6E">
      <w:pPr>
        <w:pStyle w:val="af7"/>
        <w:numPr>
          <w:ilvl w:val="0"/>
          <w:numId w:val="17"/>
        </w:numPr>
        <w:spacing w:beforeLines="50" w:before="120"/>
      </w:pPr>
      <w:r>
        <w:lastRenderedPageBreak/>
        <w:t xml:space="preserve">Scenario-2: Remote UE is </w:t>
      </w:r>
      <w:r>
        <w:rPr>
          <w:rFonts w:hint="eastAsia"/>
        </w:rPr>
        <w:t>out</w:t>
      </w:r>
      <w:r>
        <w:t>-of-coverage, and no exceptional pool is provided in SIB, whether it can make use of pre-configuration or not.</w:t>
      </w:r>
    </w:p>
    <w:p w14:paraId="43B33A0A" w14:textId="0227238A" w:rsidR="00542C6E" w:rsidRDefault="00542C6E" w:rsidP="00542C6E">
      <w:pPr>
        <w:spacing w:beforeLines="50" w:before="120"/>
      </w:pPr>
      <w:r>
        <w:rPr>
          <w:rFonts w:hint="eastAsia"/>
        </w:rPr>
        <w:t>F</w:t>
      </w:r>
      <w:r>
        <w:t xml:space="preserve">or Scenario-1, the answer is No. </w:t>
      </w:r>
    </w:p>
    <w:p w14:paraId="1E7E6D07" w14:textId="0EA3F9CF" w:rsidR="00542C6E" w:rsidRDefault="00542C6E" w:rsidP="00542C6E">
      <w:pPr>
        <w:spacing w:beforeLines="50" w:before="120"/>
      </w:pPr>
      <w:r>
        <w:t xml:space="preserve">Since LTE, pre-configuration is limited to out-of-coverage case, and in-coverage UE has to follow either SIB or dedicated-RRC configured resources. And in order to solve the issue that no sidelink resources to use before being RRC connected if there is no common Tx pool configured in SIB, exceptional pool is used as a solution. </w:t>
      </w:r>
    </w:p>
    <w:p w14:paraId="01414EDE" w14:textId="77777777" w:rsidR="00542C6E" w:rsidRDefault="00542C6E" w:rsidP="00542C6E">
      <w:pPr>
        <w:spacing w:beforeLines="50" w:before="120"/>
      </w:pPr>
      <w:r>
        <w:rPr>
          <w:rFonts w:hint="eastAsia"/>
        </w:rPr>
        <w:t>N</w:t>
      </w:r>
      <w:r>
        <w:t>ow in NR, if we would like to enable the usage of pre-configuration</w:t>
      </w:r>
      <w:r>
        <w:rPr>
          <w:rFonts w:hint="eastAsia"/>
        </w:rPr>
        <w:t>,</w:t>
      </w:r>
      <w:r>
        <w:t xml:space="preserve"> we fail to see the advantage compared to exceptional pool based approach, since </w:t>
      </w:r>
    </w:p>
    <w:p w14:paraId="2EC3511F" w14:textId="7C7600E5" w:rsidR="00542C6E" w:rsidRDefault="00542C6E" w:rsidP="00542C6E">
      <w:pPr>
        <w:pStyle w:val="af7"/>
        <w:numPr>
          <w:ilvl w:val="0"/>
          <w:numId w:val="19"/>
        </w:numPr>
        <w:spacing w:beforeLines="50" w:before="120"/>
        <w:ind w:left="357" w:hanging="357"/>
        <w:contextualSpacing w:val="0"/>
      </w:pPr>
      <w:r>
        <w:t>‘exceptional pool based approach’ can achieve the effect that the ‘pre-configuration based approach’ can achieve (e.g., by configuring the e-pool in the same manner as in pre-configuration), and</w:t>
      </w:r>
    </w:p>
    <w:p w14:paraId="729D6A87" w14:textId="4C739105" w:rsidR="00542C6E" w:rsidRDefault="00542C6E" w:rsidP="00542C6E">
      <w:pPr>
        <w:pStyle w:val="af7"/>
        <w:numPr>
          <w:ilvl w:val="0"/>
          <w:numId w:val="19"/>
        </w:numPr>
        <w:spacing w:beforeLines="50" w:before="120"/>
        <w:ind w:left="357" w:hanging="357"/>
        <w:contextualSpacing w:val="0"/>
      </w:pPr>
      <w:r>
        <w:t xml:space="preserve">The usage of pre-configuration in in-coverage scenario (not limited to partial coverage any more) may cause interference to the reception of uplink and sidelink (allowed by dedicated-RRC), in which case the ‘pre-configuration based approach’ cannot work. </w:t>
      </w:r>
    </w:p>
    <w:p w14:paraId="75AC42A7" w14:textId="33B7240A" w:rsidR="00542C6E" w:rsidRDefault="00542C6E" w:rsidP="00542C6E">
      <w:pPr>
        <w:pStyle w:val="Observation"/>
        <w:numPr>
          <w:ilvl w:val="0"/>
          <w:numId w:val="15"/>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left="1701" w:hanging="1701"/>
        <w:textAlignment w:val="auto"/>
      </w:pPr>
      <w:r>
        <w:rPr>
          <w:rFonts w:hint="eastAsia"/>
        </w:rPr>
        <w:t>F</w:t>
      </w:r>
      <w:r>
        <w:t xml:space="preserve">or in-coverage RRC_IDLE/RRC_INACTIVE L2 remote UE, compared to </w:t>
      </w:r>
      <w:r w:rsidR="00FE0392">
        <w:t xml:space="preserve">the </w:t>
      </w:r>
      <w:r>
        <w:t xml:space="preserve">legacy ‘exceptional based approach’, the ‘preconfiguration-based approach’ does not provide advantages, but causes the concern on interference by limiting it the Tx pool configured in pre-configuration. </w:t>
      </w:r>
    </w:p>
    <w:p w14:paraId="069D09C0" w14:textId="280B595D" w:rsidR="00FE0392" w:rsidRDefault="00FE0392" w:rsidP="00FE0392">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5" w:name="_Toc127260030"/>
      <w:r>
        <w:rPr>
          <w:rFonts w:hint="eastAsia"/>
        </w:rPr>
        <w:t>R</w:t>
      </w:r>
      <w:r>
        <w:t xml:space="preserve">2 does not pursue further work to allow pre-configured Tx pool usage </w:t>
      </w:r>
      <w:r>
        <w:t xml:space="preserve">by in-coverage UE </w:t>
      </w:r>
      <w:r>
        <w:t>due to exceptional pool configuration being absent.</w:t>
      </w:r>
      <w:bookmarkEnd w:id="5"/>
    </w:p>
    <w:p w14:paraId="7AA2AF2E" w14:textId="5864B01C" w:rsidR="00542C6E" w:rsidRDefault="00542C6E" w:rsidP="00542C6E">
      <w:pPr>
        <w:spacing w:beforeLines="50" w:before="120"/>
      </w:pPr>
      <w:r>
        <w:rPr>
          <w:rFonts w:hint="eastAsia"/>
        </w:rPr>
        <w:t>F</w:t>
      </w:r>
      <w:r>
        <w:t xml:space="preserve">or Scenario-2, the answer is unclear. </w:t>
      </w:r>
    </w:p>
    <w:p w14:paraId="57D284AF" w14:textId="77777777" w:rsidR="00542C6E" w:rsidRDefault="00542C6E" w:rsidP="00542C6E">
      <w:pPr>
        <w:spacing w:beforeLines="50" w:before="120"/>
      </w:pPr>
      <w:r>
        <w:rPr>
          <w:rFonts w:hint="eastAsia"/>
        </w:rPr>
        <w:t>A</w:t>
      </w:r>
      <w:r>
        <w:t>t R2#114, it was agreed that</w:t>
      </w:r>
    </w:p>
    <w:p w14:paraId="42392263" w14:textId="77777777" w:rsidR="00542C6E" w:rsidRDefault="00542C6E" w:rsidP="00542C6E">
      <w:pPr>
        <w:pBdr>
          <w:top w:val="single" w:sz="4" w:space="1" w:color="auto"/>
          <w:left w:val="single" w:sz="4" w:space="4" w:color="auto"/>
          <w:bottom w:val="single" w:sz="4" w:space="1" w:color="auto"/>
          <w:right w:val="single" w:sz="4" w:space="4" w:color="auto"/>
        </w:pBdr>
        <w:spacing w:beforeLines="50" w:before="120"/>
      </w:pPr>
      <w:r>
        <w:t xml:space="preserve">Proposal 3a (modified): RAN2 agree that for L2 remote UE which is out-of-coverage, but connected to network via a relay UE (i.e., either in RRC CONNECTED or RRC IDLE/INACTIVE), it should follow network configuration, i.e., SIB or dedicated signalling, </w:t>
      </w:r>
      <w:r w:rsidRPr="00542C6E">
        <w:rPr>
          <w:highlight w:val="yellow"/>
        </w:rPr>
        <w:t>if available</w:t>
      </w:r>
      <w:r>
        <w:t>.</w:t>
      </w:r>
    </w:p>
    <w:p w14:paraId="24E910A0" w14:textId="77777777" w:rsidR="00542C6E" w:rsidRDefault="00542C6E" w:rsidP="00542C6E">
      <w:pPr>
        <w:pBdr>
          <w:top w:val="single" w:sz="4" w:space="1" w:color="auto"/>
          <w:left w:val="single" w:sz="4" w:space="4" w:color="auto"/>
          <w:bottom w:val="single" w:sz="4" w:space="1" w:color="auto"/>
          <w:right w:val="single" w:sz="4" w:space="4" w:color="auto"/>
        </w:pBdr>
        <w:spacing w:beforeLines="50" w:before="120"/>
      </w:pPr>
      <w:r>
        <w:t xml:space="preserve">Proposal 4a [easy]: RAN2 agree that for L2 remote UE which is out-of-coverage, but connected to network via a relay UE and in RRC IDLE/INACTIVE state, </w:t>
      </w:r>
      <w:r w:rsidRPr="00542C6E">
        <w:rPr>
          <w:highlight w:val="yellow"/>
        </w:rPr>
        <w:t>if the network configuration is not available</w:t>
      </w:r>
      <w:r>
        <w:t>, i.e., SIB, remote UE shall rely on pre-configuration to perform discovery.</w:t>
      </w:r>
    </w:p>
    <w:p w14:paraId="7587C7FC" w14:textId="000AB424" w:rsidR="00542C6E" w:rsidRDefault="00542C6E" w:rsidP="00542C6E">
      <w:pPr>
        <w:spacing w:beforeLines="50" w:before="120"/>
      </w:pPr>
      <w:r>
        <w:t xml:space="preserve">It seems that </w:t>
      </w:r>
    </w:p>
    <w:p w14:paraId="1569F531" w14:textId="77777777" w:rsidR="00542C6E" w:rsidRDefault="00542C6E" w:rsidP="00542C6E">
      <w:pPr>
        <w:pStyle w:val="af7"/>
        <w:numPr>
          <w:ilvl w:val="0"/>
          <w:numId w:val="21"/>
        </w:numPr>
        <w:spacing w:beforeLines="50" w:before="120"/>
        <w:ind w:left="357" w:hanging="357"/>
        <w:contextualSpacing w:val="0"/>
      </w:pPr>
      <w:r>
        <w:t xml:space="preserve">If SIB is not available at all, pre-configuration shall be used, or </w:t>
      </w:r>
    </w:p>
    <w:p w14:paraId="3FB08D90" w14:textId="42B19355" w:rsidR="00542C6E" w:rsidRDefault="00542C6E" w:rsidP="00542C6E">
      <w:pPr>
        <w:pStyle w:val="af7"/>
        <w:numPr>
          <w:ilvl w:val="0"/>
          <w:numId w:val="21"/>
        </w:numPr>
        <w:spacing w:beforeLines="50" w:before="120"/>
        <w:ind w:left="357" w:hanging="357"/>
        <w:contextualSpacing w:val="0"/>
      </w:pPr>
      <w:r>
        <w:t>If SIB is available with normal Tx pool configured, normal Tx pool shall be used; But</w:t>
      </w:r>
    </w:p>
    <w:p w14:paraId="00B22F3C" w14:textId="0DB9A40E" w:rsidR="00542C6E" w:rsidRPr="00FE0392" w:rsidRDefault="00542C6E" w:rsidP="00542C6E">
      <w:pPr>
        <w:pStyle w:val="af7"/>
        <w:numPr>
          <w:ilvl w:val="0"/>
          <w:numId w:val="21"/>
        </w:numPr>
        <w:spacing w:beforeLines="50" w:before="120"/>
        <w:ind w:left="357" w:hanging="357"/>
        <w:contextualSpacing w:val="0"/>
        <w:rPr>
          <w:b/>
          <w:bCs/>
        </w:rPr>
      </w:pPr>
      <w:r w:rsidRPr="00FE0392">
        <w:rPr>
          <w:rFonts w:hint="eastAsia"/>
          <w:b/>
          <w:bCs/>
        </w:rPr>
        <w:t>I</w:t>
      </w:r>
      <w:r w:rsidRPr="00FE0392">
        <w:rPr>
          <w:b/>
          <w:bCs/>
        </w:rPr>
        <w:t>f SIB is available, including the concerned PC5 frequency, but not including the normal Tx pool, it seems not super clear how the UE should do.</w:t>
      </w:r>
    </w:p>
    <w:p w14:paraId="52753666" w14:textId="77777777" w:rsidR="00E93D50" w:rsidRDefault="00542C6E" w:rsidP="00542C6E">
      <w:pPr>
        <w:spacing w:beforeLines="50" w:before="120"/>
      </w:pPr>
      <w:r>
        <w:rPr>
          <w:rFonts w:hint="eastAsia"/>
        </w:rPr>
        <w:t>T</w:t>
      </w:r>
      <w:r>
        <w:t xml:space="preserve">hen based on the current spec, </w:t>
      </w:r>
      <w:r w:rsidR="00E93D50">
        <w:t xml:space="preserve">in case c) above, </w:t>
      </w:r>
    </w:p>
    <w:p w14:paraId="25D7613D" w14:textId="05469261" w:rsidR="00542C6E" w:rsidRDefault="00E93D50" w:rsidP="00542C6E">
      <w:pPr>
        <w:spacing w:beforeLines="50" w:before="120"/>
      </w:pPr>
      <w:r>
        <w:t xml:space="preserve">c1) if exceptional pool is configured, it can be used. </w:t>
      </w:r>
    </w:p>
    <w:p w14:paraId="7F6A48CF" w14:textId="78129FF3" w:rsidR="00E93D50" w:rsidRPr="00FE0392" w:rsidRDefault="00E93D50" w:rsidP="00542C6E">
      <w:pPr>
        <w:spacing w:beforeLines="50" w:before="120"/>
        <w:rPr>
          <w:b/>
          <w:bCs/>
        </w:rPr>
      </w:pPr>
      <w:r w:rsidRPr="00FE0392">
        <w:rPr>
          <w:rFonts w:hint="eastAsia"/>
          <w:b/>
          <w:bCs/>
        </w:rPr>
        <w:t>c</w:t>
      </w:r>
      <w:r w:rsidRPr="00FE0392">
        <w:rPr>
          <w:b/>
          <w:bCs/>
        </w:rPr>
        <w:t>2) if exceptional pool is not configured, it is not specified how the UE should behave</w:t>
      </w:r>
    </w:p>
    <w:p w14:paraId="7D1DF427" w14:textId="77777777" w:rsidR="00E93D50" w:rsidRPr="00E93D50" w:rsidRDefault="00E93D50" w:rsidP="00E93D50">
      <w:pPr>
        <w:pBdr>
          <w:top w:val="single" w:sz="4" w:space="1" w:color="auto"/>
          <w:left w:val="single" w:sz="4" w:space="4" w:color="auto"/>
          <w:bottom w:val="single" w:sz="4" w:space="1" w:color="auto"/>
          <w:right w:val="single" w:sz="4" w:space="4" w:color="auto"/>
        </w:pBdr>
        <w:spacing w:after="180"/>
        <w:jc w:val="left"/>
        <w:rPr>
          <w:rFonts w:ascii="Times New Roman" w:eastAsia="等线" w:hAnsi="Times New Roman"/>
        </w:rPr>
      </w:pPr>
      <w:r w:rsidRPr="00E93D50">
        <w:rPr>
          <w:rFonts w:ascii="Times New Roman" w:eastAsia="Times New Roman" w:hAnsi="Times New Roman"/>
          <w:lang w:eastAsia="ja-JP"/>
        </w:rPr>
        <w:t>3&gt;</w:t>
      </w:r>
      <w:r w:rsidRPr="00E93D50">
        <w:rPr>
          <w:rFonts w:ascii="Times New Roman" w:eastAsia="Times New Roman" w:hAnsi="Times New Roman"/>
          <w:lang w:eastAsia="ja-JP"/>
        </w:rPr>
        <w:tab/>
        <w:t xml:space="preserve">else: </w:t>
      </w:r>
      <w:r w:rsidRPr="00E93D50">
        <w:rPr>
          <w:rFonts w:ascii="Times New Roman" w:eastAsia="Times New Roman" w:hAnsi="Times New Roman"/>
          <w:i/>
          <w:iCs/>
          <w:color w:val="FF0000"/>
          <w:lang w:eastAsia="ja-JP"/>
        </w:rPr>
        <w:t xml:space="preserve">(i.e., the remote UE, in RRC_IDLE/RRC_INACTIVE state, has acquired SIB (due to in-coverage, or due to forwarding by relay UE), and the concerned PC5 frequency is included in SIB) </w:t>
      </w:r>
    </w:p>
    <w:p w14:paraId="012C79C0" w14:textId="77777777" w:rsidR="00E93D50" w:rsidRPr="00E93D50" w:rsidRDefault="00E93D50" w:rsidP="00E93D50">
      <w:pPr>
        <w:pBdr>
          <w:top w:val="single" w:sz="4" w:space="1" w:color="auto"/>
          <w:left w:val="single" w:sz="4" w:space="4" w:color="auto"/>
          <w:bottom w:val="single" w:sz="4" w:space="1" w:color="auto"/>
          <w:right w:val="single" w:sz="4" w:space="4" w:color="auto"/>
        </w:pBdr>
        <w:spacing w:after="180"/>
        <w:jc w:val="left"/>
        <w:rPr>
          <w:rFonts w:ascii="Times New Roman" w:eastAsia="等线" w:hAnsi="Times New Roman"/>
        </w:rPr>
      </w:pPr>
      <w:r w:rsidRPr="00E93D50">
        <w:rPr>
          <w:rFonts w:ascii="Times New Roman" w:eastAsia="Times New Roman" w:hAnsi="Times New Roman"/>
          <w:lang w:eastAsia="ja-JP"/>
        </w:rPr>
        <w:t>4&gt;</w:t>
      </w:r>
      <w:r w:rsidRPr="00E93D50">
        <w:rPr>
          <w:rFonts w:ascii="Times New Roman" w:eastAsia="Times New Roman" w:hAnsi="Times New Roman"/>
          <w:lang w:eastAsia="ja-JP"/>
        </w:rPr>
        <w:tab/>
        <w:t xml:space="preserve">if the cell chosen for NR sidelink communication transmission provides </w:t>
      </w:r>
      <w:r w:rsidRPr="00E93D50">
        <w:rPr>
          <w:rFonts w:ascii="Times New Roman" w:eastAsia="Times New Roman" w:hAnsi="Times New Roman"/>
          <w:i/>
          <w:lang w:eastAsia="ja-JP"/>
        </w:rPr>
        <w:t>SIB12</w:t>
      </w:r>
      <w:r w:rsidRPr="00E93D50">
        <w:rPr>
          <w:rFonts w:ascii="Times New Roman" w:eastAsia="Times New Roman" w:hAnsi="Times New Roman"/>
          <w:lang w:eastAsia="ja-JP"/>
        </w:rPr>
        <w:t>:</w:t>
      </w:r>
    </w:p>
    <w:p w14:paraId="22477EB6" w14:textId="77777777" w:rsidR="00E93D50" w:rsidRPr="00E93D50" w:rsidRDefault="00E93D50" w:rsidP="00E93D50">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lang w:eastAsia="ja-JP"/>
        </w:rPr>
      </w:pPr>
      <w:r w:rsidRPr="00E93D50">
        <w:rPr>
          <w:rFonts w:ascii="Times New Roman" w:eastAsia="Times New Roman" w:hAnsi="Times New Roman"/>
          <w:lang w:eastAsia="ja-JP"/>
        </w:rPr>
        <w:t>5&gt;</w:t>
      </w:r>
      <w:r w:rsidRPr="00E93D50">
        <w:rPr>
          <w:rFonts w:ascii="Times New Roman" w:eastAsia="Times New Roman" w:hAnsi="Times New Roman"/>
          <w:lang w:eastAsia="ja-JP"/>
        </w:rPr>
        <w:tab/>
      </w:r>
      <w:r w:rsidRPr="00E93D50">
        <w:rPr>
          <w:rFonts w:ascii="Times New Roman" w:eastAsia="Times New Roman" w:hAnsi="Times New Roman"/>
        </w:rPr>
        <w:t xml:space="preserve">if </w:t>
      </w:r>
      <w:r w:rsidRPr="00E93D50">
        <w:rPr>
          <w:rFonts w:ascii="Times New Roman" w:eastAsia="Times New Roman" w:hAnsi="Times New Roman"/>
          <w:i/>
        </w:rPr>
        <w:t>SIB12</w:t>
      </w:r>
      <w:r w:rsidRPr="00E93D50">
        <w:rPr>
          <w:rFonts w:ascii="Times New Roman" w:eastAsia="Times New Roman" w:hAnsi="Times New Roman"/>
        </w:rPr>
        <w:t xml:space="preserve"> in</w:t>
      </w:r>
      <w:r w:rsidRPr="00E93D50">
        <w:rPr>
          <w:rFonts w:ascii="Times New Roman" w:eastAsia="Times New Roman" w:hAnsi="Times New Roman"/>
          <w:lang w:eastAsia="ja-JP"/>
        </w:rPr>
        <w:t xml:space="preserve">cludes </w:t>
      </w:r>
      <w:r w:rsidRPr="00E93D50">
        <w:rPr>
          <w:rFonts w:ascii="Times New Roman" w:eastAsia="Times New Roman" w:hAnsi="Times New Roman"/>
          <w:i/>
        </w:rPr>
        <w:t>sl-TxPoolSelectedNormal</w:t>
      </w:r>
      <w:r w:rsidRPr="00E93D50">
        <w:rPr>
          <w:rFonts w:ascii="Times New Roman" w:eastAsia="Times New Roman" w:hAnsi="Times New Roman"/>
        </w:rPr>
        <w:t xml:space="preserve"> </w:t>
      </w:r>
      <w:r w:rsidRPr="00E93D50">
        <w:rPr>
          <w:rFonts w:ascii="Times New Roman" w:eastAsia="Times New Roman" w:hAnsi="Times New Roman"/>
          <w:lang w:eastAsia="ja-JP"/>
        </w:rPr>
        <w:t>for the concerned frequency,</w:t>
      </w:r>
      <w:r w:rsidRPr="00E93D50">
        <w:rPr>
          <w:rFonts w:ascii="Times New Roman" w:eastAsia="Times New Roman" w:hAnsi="Times New Roman"/>
          <w:i/>
          <w:lang w:eastAsia="ja-JP"/>
        </w:rPr>
        <w:t xml:space="preserve"> </w:t>
      </w:r>
      <w:r w:rsidRPr="00E93D50">
        <w:rPr>
          <w:rFonts w:ascii="Times New Roman" w:eastAsia="Times New Roman" w:hAnsi="Times New Roman"/>
          <w:lang w:eastAsia="ja-JP"/>
        </w:rPr>
        <w:t xml:space="preserve">and </w:t>
      </w:r>
      <w:r w:rsidRPr="00E93D50">
        <w:rPr>
          <w:rFonts w:ascii="Times New Roman" w:eastAsia="Times New Roman" w:hAnsi="Times New Roman"/>
        </w:rPr>
        <w:t xml:space="preserve">a result of full/partial sensing, if selected and is allowed by </w:t>
      </w:r>
      <w:r w:rsidRPr="00E93D50">
        <w:rPr>
          <w:rFonts w:ascii="Times New Roman" w:eastAsia="Times New Roman" w:hAnsi="Times New Roman"/>
          <w:i/>
          <w:lang w:eastAsia="ja-JP"/>
        </w:rPr>
        <w:t>sl-AllowedResourceSelectionConfig</w:t>
      </w:r>
      <w:r w:rsidRPr="00E93D50">
        <w:rPr>
          <w:rFonts w:ascii="Times New Roman" w:eastAsia="Times New Roman" w:hAnsi="Times New Roman"/>
          <w:lang w:eastAsia="ja-JP"/>
        </w:rPr>
        <w:t>,</w:t>
      </w:r>
      <w:r w:rsidRPr="00E93D50">
        <w:rPr>
          <w:rFonts w:ascii="Times New Roman" w:eastAsia="Times New Roman" w:hAnsi="Times New Roman"/>
        </w:rPr>
        <w:t xml:space="preserve"> on the resources configured in the </w:t>
      </w:r>
      <w:r w:rsidRPr="00E93D50">
        <w:rPr>
          <w:rFonts w:ascii="Times New Roman" w:eastAsia="Times New Roman" w:hAnsi="Times New Roman"/>
          <w:i/>
        </w:rPr>
        <w:t>sl-TxPoolSelectedNormal</w:t>
      </w:r>
      <w:r w:rsidRPr="00E93D50">
        <w:rPr>
          <w:rFonts w:ascii="Times New Roman" w:eastAsia="Times New Roman" w:hAnsi="Times New Roman"/>
        </w:rPr>
        <w:t xml:space="preserve"> is available in accordance with TS 38.214 [19] or random selection, if allowed by </w:t>
      </w:r>
      <w:r w:rsidRPr="00E93D50">
        <w:rPr>
          <w:rFonts w:ascii="Times New Roman" w:eastAsia="Times New Roman" w:hAnsi="Times New Roman"/>
          <w:i/>
          <w:lang w:eastAsia="ja-JP"/>
        </w:rPr>
        <w:t>sl-AllowedResourceSelectionConfig</w:t>
      </w:r>
      <w:r w:rsidRPr="00E93D50">
        <w:rPr>
          <w:rFonts w:ascii="Times New Roman" w:eastAsia="Times New Roman" w:hAnsi="Times New Roman"/>
          <w:iCs/>
          <w:lang w:eastAsia="ja-JP"/>
        </w:rPr>
        <w:t>, is selected</w:t>
      </w:r>
      <w:r w:rsidRPr="00E93D50">
        <w:rPr>
          <w:rFonts w:ascii="Times New Roman" w:eastAsia="Times New Roman" w:hAnsi="Times New Roman"/>
        </w:rPr>
        <w:t>:</w:t>
      </w:r>
    </w:p>
    <w:p w14:paraId="2BD4DC4B" w14:textId="77777777" w:rsidR="00E93D50" w:rsidRPr="00E93D50" w:rsidRDefault="00E93D50" w:rsidP="00E93D50">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lang w:eastAsia="ja-JP"/>
        </w:rPr>
      </w:pPr>
      <w:r w:rsidRPr="00E93D50">
        <w:rPr>
          <w:rFonts w:ascii="Times New Roman" w:eastAsia="Times New Roman" w:hAnsi="Times New Roman"/>
          <w:lang w:eastAsia="ja-JP"/>
        </w:rPr>
        <w:t>6&gt;</w:t>
      </w:r>
      <w:r w:rsidRPr="00E93D50">
        <w:rPr>
          <w:rFonts w:ascii="Times New Roman" w:eastAsia="Times New Roman" w:hAnsi="Times New Roman"/>
          <w:lang w:eastAsia="ja-JP"/>
        </w:rPr>
        <w:tab/>
        <w:t xml:space="preserve">configure lower layers to perform the sidelink resource allocation mode 2 based on resource selection operation according to </w:t>
      </w:r>
      <w:r w:rsidRPr="00E93D50">
        <w:rPr>
          <w:rFonts w:ascii="Times New Roman" w:eastAsia="Times New Roman" w:hAnsi="Times New Roman"/>
          <w:i/>
          <w:lang w:eastAsia="ja-JP"/>
        </w:rPr>
        <w:t>sl-AllowedResourceSelectionConfig</w:t>
      </w:r>
      <w:r w:rsidRPr="00E93D50">
        <w:rPr>
          <w:rFonts w:ascii="Times New Roman" w:eastAsia="Times New Roman" w:hAnsi="Times New Roman"/>
          <w:lang w:eastAsia="ja-JP"/>
        </w:rPr>
        <w:t xml:space="preserve"> using the pools of resources indicated by </w:t>
      </w:r>
      <w:r w:rsidRPr="00E93D50">
        <w:rPr>
          <w:rFonts w:ascii="Times New Roman" w:eastAsia="Times New Roman" w:hAnsi="Times New Roman"/>
          <w:i/>
          <w:lang w:eastAsia="ja-JP"/>
        </w:rPr>
        <w:t>sl-TxPoolSelectedNormal</w:t>
      </w:r>
      <w:r w:rsidRPr="00E93D50">
        <w:rPr>
          <w:rFonts w:ascii="Times New Roman" w:eastAsia="Times New Roman" w:hAnsi="Times New Roman"/>
          <w:lang w:eastAsia="ja-JP"/>
        </w:rPr>
        <w:t xml:space="preserve"> for the concerned frequency as defined in TS 38.321 [3];</w:t>
      </w:r>
    </w:p>
    <w:p w14:paraId="2013F5DD" w14:textId="77777777" w:rsidR="00E93D50" w:rsidRPr="00E93D50" w:rsidRDefault="00E93D50" w:rsidP="00E93D50">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lang w:eastAsia="ja-JP"/>
        </w:rPr>
      </w:pPr>
      <w:r w:rsidRPr="00E93D50">
        <w:rPr>
          <w:rFonts w:ascii="Times New Roman" w:eastAsia="Times New Roman" w:hAnsi="Times New Roman"/>
          <w:lang w:eastAsia="ja-JP"/>
        </w:rPr>
        <w:t>5&gt;</w:t>
      </w:r>
      <w:r w:rsidRPr="00E93D50">
        <w:rPr>
          <w:rFonts w:ascii="Times New Roman" w:eastAsia="Times New Roman" w:hAnsi="Times New Roman"/>
          <w:lang w:eastAsia="ja-JP"/>
        </w:rPr>
        <w:tab/>
        <w:t xml:space="preserve">else if </w:t>
      </w:r>
      <w:r w:rsidRPr="00E93D50">
        <w:rPr>
          <w:rFonts w:ascii="Times New Roman" w:eastAsia="Times New Roman" w:hAnsi="Times New Roman"/>
          <w:i/>
        </w:rPr>
        <w:t>SIB12</w:t>
      </w:r>
      <w:r w:rsidRPr="00E93D50">
        <w:rPr>
          <w:rFonts w:ascii="Times New Roman" w:eastAsia="Times New Roman" w:hAnsi="Times New Roman"/>
        </w:rPr>
        <w:t xml:space="preserve"> in</w:t>
      </w:r>
      <w:r w:rsidRPr="00E93D50">
        <w:rPr>
          <w:rFonts w:ascii="Times New Roman" w:eastAsia="Times New Roman" w:hAnsi="Times New Roman"/>
          <w:lang w:eastAsia="ja-JP"/>
        </w:rPr>
        <w:t xml:space="preserve">cludes </w:t>
      </w:r>
      <w:r w:rsidRPr="00E93D50">
        <w:rPr>
          <w:rFonts w:ascii="Times New Roman" w:eastAsia="Times New Roman" w:hAnsi="Times New Roman"/>
          <w:i/>
        </w:rPr>
        <w:t>sl-TxPoolExceptional</w:t>
      </w:r>
      <w:r w:rsidRPr="00E93D50">
        <w:rPr>
          <w:rFonts w:ascii="Times New Roman" w:eastAsia="Times New Roman" w:hAnsi="Times New Roman"/>
        </w:rPr>
        <w:t xml:space="preserve"> </w:t>
      </w:r>
      <w:r w:rsidRPr="00E93D50">
        <w:rPr>
          <w:rFonts w:ascii="Times New Roman" w:eastAsia="Times New Roman" w:hAnsi="Times New Roman"/>
          <w:lang w:eastAsia="ja-JP"/>
        </w:rPr>
        <w:t>for the concerned frequency:</w:t>
      </w:r>
    </w:p>
    <w:p w14:paraId="38CBDB7E" w14:textId="77777777" w:rsidR="00E93D50" w:rsidRPr="00E93D50" w:rsidRDefault="00E93D50" w:rsidP="00E93D50">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lang w:eastAsia="ja-JP"/>
        </w:rPr>
      </w:pPr>
      <w:r w:rsidRPr="00E93D50">
        <w:rPr>
          <w:rFonts w:ascii="Times New Roman" w:eastAsia="Times New Roman" w:hAnsi="Times New Roman"/>
          <w:lang w:eastAsia="ja-JP"/>
        </w:rPr>
        <w:lastRenderedPageBreak/>
        <w:t>6&gt;</w:t>
      </w:r>
      <w:r w:rsidRPr="00E93D50">
        <w:rPr>
          <w:rFonts w:ascii="Times New Roman" w:eastAsia="Times New Roman" w:hAnsi="Times New Roman"/>
          <w:lang w:eastAsia="ja-JP"/>
        </w:rPr>
        <w:tab/>
        <w:t xml:space="preserve">from the moment the UE initiates RRC connection establishment or RRC connection resume, until receiving an </w:t>
      </w:r>
      <w:r w:rsidRPr="00E93D50">
        <w:rPr>
          <w:rFonts w:ascii="Times New Roman" w:eastAsia="Times New Roman" w:hAnsi="Times New Roman"/>
          <w:i/>
          <w:lang w:eastAsia="ja-JP"/>
        </w:rPr>
        <w:t>RRCReconfiguration</w:t>
      </w:r>
      <w:r w:rsidRPr="00E93D50">
        <w:rPr>
          <w:rFonts w:ascii="Times New Roman" w:eastAsia="Times New Roman" w:hAnsi="Times New Roman"/>
          <w:lang w:eastAsia="ja-JP"/>
        </w:rPr>
        <w:t xml:space="preserve"> including </w:t>
      </w:r>
      <w:r w:rsidRPr="00E93D50">
        <w:rPr>
          <w:rFonts w:ascii="Times New Roman" w:eastAsia="Times New Roman" w:hAnsi="Times New Roman"/>
          <w:i/>
          <w:lang w:eastAsia="ja-JP"/>
        </w:rPr>
        <w:t>sl-ConfigDedicatedNR</w:t>
      </w:r>
      <w:r w:rsidRPr="00E93D50">
        <w:rPr>
          <w:rFonts w:ascii="Times New Roman" w:eastAsia="Times New Roman" w:hAnsi="Times New Roman"/>
          <w:lang w:eastAsia="ja-JP"/>
        </w:rPr>
        <w:t xml:space="preserve">, or receiving an </w:t>
      </w:r>
      <w:r w:rsidRPr="00E93D50">
        <w:rPr>
          <w:rFonts w:ascii="Times New Roman" w:eastAsia="Times New Roman" w:hAnsi="Times New Roman"/>
          <w:i/>
          <w:lang w:eastAsia="ja-JP"/>
        </w:rPr>
        <w:t>RRCRelease</w:t>
      </w:r>
      <w:r w:rsidRPr="00E93D50">
        <w:rPr>
          <w:rFonts w:ascii="Times New Roman" w:eastAsia="Times New Roman" w:hAnsi="Times New Roman"/>
          <w:lang w:eastAsia="ja-JP"/>
        </w:rPr>
        <w:t xml:space="preserve"> or an </w:t>
      </w:r>
      <w:r w:rsidRPr="00E93D50">
        <w:rPr>
          <w:rFonts w:ascii="Times New Roman" w:eastAsia="Times New Roman" w:hAnsi="Times New Roman"/>
          <w:i/>
          <w:lang w:eastAsia="ja-JP"/>
        </w:rPr>
        <w:t>RRCReject</w:t>
      </w:r>
      <w:r w:rsidRPr="00E93D50">
        <w:rPr>
          <w:rFonts w:ascii="Times New Roman" w:eastAsia="Times New Roman" w:hAnsi="Times New Roman"/>
          <w:lang w:eastAsia="ja-JP"/>
        </w:rPr>
        <w:t>; or</w:t>
      </w:r>
    </w:p>
    <w:p w14:paraId="7FB03571" w14:textId="77777777" w:rsidR="00E93D50" w:rsidRPr="00E93D50" w:rsidRDefault="00E93D50" w:rsidP="00E93D50">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lang w:eastAsia="ja-JP"/>
        </w:rPr>
      </w:pPr>
      <w:r w:rsidRPr="00E93D50">
        <w:rPr>
          <w:rFonts w:ascii="Times New Roman" w:eastAsia="Times New Roman" w:hAnsi="Times New Roman"/>
          <w:lang w:eastAsia="ja-JP"/>
        </w:rPr>
        <w:t>6&gt;</w:t>
      </w:r>
      <w:r w:rsidRPr="00E93D50">
        <w:rPr>
          <w:rFonts w:ascii="Times New Roman" w:eastAsia="Times New Roman" w:hAnsi="Times New Roman"/>
          <w:lang w:eastAsia="ja-JP"/>
        </w:rPr>
        <w:tab/>
        <w:t>if a result of full/partial sensing</w:t>
      </w:r>
      <w:r w:rsidRPr="00E93D50">
        <w:rPr>
          <w:rFonts w:ascii="Times New Roman" w:eastAsia="Times New Roman" w:hAnsi="Times New Roman"/>
        </w:rPr>
        <w:t xml:space="preserve">, if selected and is </w:t>
      </w:r>
      <w:r w:rsidRPr="00E93D50">
        <w:rPr>
          <w:rFonts w:ascii="Times New Roman" w:eastAsia="Times New Roman" w:hAnsi="Times New Roman"/>
          <w:lang w:eastAsia="ja-JP"/>
        </w:rPr>
        <w:t>allowed by</w:t>
      </w:r>
      <w:r w:rsidRPr="00E93D50">
        <w:rPr>
          <w:rFonts w:ascii="Times New Roman" w:eastAsia="Times New Roman" w:hAnsi="Times New Roman"/>
          <w:i/>
          <w:lang w:eastAsia="ja-JP"/>
        </w:rPr>
        <w:t xml:space="preserve"> sl-AllowedResourceSelectionConfig</w:t>
      </w:r>
      <w:r w:rsidRPr="00E93D50">
        <w:rPr>
          <w:rFonts w:ascii="Times New Roman" w:eastAsia="Times New Roman" w:hAnsi="Times New Roman"/>
          <w:lang w:eastAsia="ja-JP"/>
        </w:rPr>
        <w:t xml:space="preserve">, on the resources configured in </w:t>
      </w:r>
      <w:r w:rsidRPr="00E93D50">
        <w:rPr>
          <w:rFonts w:ascii="Times New Roman" w:eastAsia="Times New Roman" w:hAnsi="Times New Roman"/>
          <w:i/>
        </w:rPr>
        <w:t>sl-TxPoolSelectedNormal</w:t>
      </w:r>
      <w:r w:rsidRPr="00E93D50">
        <w:rPr>
          <w:rFonts w:ascii="Times New Roman" w:eastAsia="Times New Roman" w:hAnsi="Times New Roman"/>
          <w:lang w:eastAsia="ja-JP"/>
        </w:rPr>
        <w:t xml:space="preserve"> for the concerned frequency in </w:t>
      </w:r>
      <w:r w:rsidRPr="00E93D50">
        <w:rPr>
          <w:rFonts w:ascii="Times New Roman" w:eastAsia="Times New Roman" w:hAnsi="Times New Roman"/>
          <w:i/>
          <w:lang w:eastAsia="ja-JP"/>
        </w:rPr>
        <w:t>SIB12</w:t>
      </w:r>
      <w:r w:rsidRPr="00E93D50">
        <w:rPr>
          <w:rFonts w:ascii="Times New Roman" w:eastAsia="Times New Roman" w:hAnsi="Times New Roman"/>
          <w:lang w:eastAsia="ja-JP"/>
        </w:rPr>
        <w:t xml:space="preserve"> is not available in accordance with TS 38.214 [19]:</w:t>
      </w:r>
    </w:p>
    <w:p w14:paraId="25FF2F48" w14:textId="77777777" w:rsidR="00E93D50" w:rsidRPr="00E93D50" w:rsidRDefault="00E93D50" w:rsidP="00E93D50">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lang w:eastAsia="ja-JP"/>
        </w:rPr>
      </w:pPr>
      <w:r w:rsidRPr="00E93D50">
        <w:rPr>
          <w:rFonts w:ascii="Times New Roman" w:eastAsia="Times New Roman" w:hAnsi="Times New Roman"/>
          <w:lang w:eastAsia="ja-JP"/>
        </w:rPr>
        <w:t>7&gt;</w:t>
      </w:r>
      <w:r w:rsidRPr="00E93D50">
        <w:rPr>
          <w:rFonts w:ascii="Times New Roman" w:eastAsia="Times New Roman" w:hAnsi="Times New Roman"/>
          <w:lang w:eastAsia="ja-JP"/>
        </w:rPr>
        <w:tab/>
        <w:t xml:space="preserve">configure lower layers to perform the sidelink resource allocation mode 2 based on random selection (as defined in TS 38.321 [3]) using the pool of resources indicated by </w:t>
      </w:r>
      <w:r w:rsidRPr="00E93D50">
        <w:rPr>
          <w:rFonts w:ascii="Times New Roman" w:eastAsia="Times New Roman" w:hAnsi="Times New Roman"/>
          <w:i/>
          <w:lang w:eastAsia="ja-JP"/>
        </w:rPr>
        <w:t>sl-TxPoolExceptional</w:t>
      </w:r>
      <w:r w:rsidRPr="00E93D50">
        <w:rPr>
          <w:rFonts w:ascii="Times New Roman" w:eastAsia="Times New Roman" w:hAnsi="Times New Roman"/>
          <w:lang w:eastAsia="ja-JP"/>
        </w:rPr>
        <w:t xml:space="preserve"> for the concerned frequency;</w:t>
      </w:r>
    </w:p>
    <w:p w14:paraId="7D8F18CC" w14:textId="1602678A" w:rsidR="00E93D50" w:rsidRDefault="00E93D50" w:rsidP="00542C6E">
      <w:pPr>
        <w:spacing w:beforeLines="50" w:before="120"/>
      </w:pPr>
      <w:r>
        <w:rPr>
          <w:rFonts w:hint="eastAsia"/>
        </w:rPr>
        <w:t>S</w:t>
      </w:r>
      <w:r>
        <w:t xml:space="preserve">o the final question is, how should we handle case c2) above. </w:t>
      </w:r>
    </w:p>
    <w:p w14:paraId="754ADD3D" w14:textId="3F530461" w:rsidR="00E93D50" w:rsidRDefault="00E93D50" w:rsidP="00542C6E">
      <w:pPr>
        <w:spacing w:beforeLines="50" w:before="120"/>
      </w:pPr>
      <w:r>
        <w:rPr>
          <w:rFonts w:hint="eastAsia"/>
        </w:rPr>
        <w:t>B</w:t>
      </w:r>
      <w:r>
        <w:t>ut the question is whether c2) is valid case for L2 Relay</w:t>
      </w:r>
      <w:r w:rsidR="00FE0392">
        <w:t>.</w:t>
      </w:r>
      <w:r>
        <w:t xml:space="preserve"> </w:t>
      </w:r>
      <w:r w:rsidR="00FE0392">
        <w:t>If</w:t>
      </w:r>
      <w:r>
        <w:t xml:space="preserve"> that happens, it means the in-coverage UE would have no sidelink resource to use during RRC connection establishment, i.e., the network does not want to allow in-coverage RRC_IDLE / RRC_INACTIVE remote UE activity in this cell. If that is the intention, there seems no reason to allow out-of-coverage RRC_IDLE / RRC_INACTIVE remote UE activity.</w:t>
      </w:r>
    </w:p>
    <w:p w14:paraId="6EDBC94A" w14:textId="234643E7" w:rsidR="00FE0392" w:rsidRDefault="00FE0392" w:rsidP="00542C6E">
      <w:pPr>
        <w:spacing w:beforeLines="50" w:before="120"/>
      </w:pPr>
      <w:r>
        <w:rPr>
          <w:rFonts w:hint="eastAsia"/>
        </w:rPr>
        <w:t>I</w:t>
      </w:r>
      <w:r>
        <w:t xml:space="preserve">n our view, at least there is no need to pursue normative change for this issue. </w:t>
      </w:r>
    </w:p>
    <w:p w14:paraId="630D71D9" w14:textId="1DE0420F" w:rsidR="00E93D50" w:rsidRDefault="00E93D50" w:rsidP="00E93D50">
      <w:pPr>
        <w:pStyle w:val="Observation"/>
        <w:numPr>
          <w:ilvl w:val="0"/>
          <w:numId w:val="15"/>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left="1701" w:hanging="1701"/>
        <w:textAlignment w:val="auto"/>
      </w:pPr>
      <w:r>
        <w:rPr>
          <w:rFonts w:hint="eastAsia"/>
        </w:rPr>
        <w:t>F</w:t>
      </w:r>
      <w:r>
        <w:t xml:space="preserve">or out-of-coverage RRC_IDLE/RRC_INACTIVE L2 remote UE, </w:t>
      </w:r>
      <w:r w:rsidR="00FE0392">
        <w:t xml:space="preserve">the </w:t>
      </w:r>
      <w:r>
        <w:t xml:space="preserve">current spec can already handle the cases where the SIB is unavailable, or the SIB is available with normal Tx pool and/or exceptional Tx pool are configured. </w:t>
      </w:r>
    </w:p>
    <w:p w14:paraId="5D093855" w14:textId="46BBED72" w:rsidR="00E93D50" w:rsidRDefault="00FE0392" w:rsidP="00E93D50">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6" w:name="_Toc127260031"/>
      <w:r>
        <w:t>For</w:t>
      </w:r>
      <w:r w:rsidR="00E93D50">
        <w:t xml:space="preserve"> pre-configured Tx pool usage</w:t>
      </w:r>
      <w:r>
        <w:t xml:space="preserve"> by out-of-coverage UE, RAN2 limit the discussion, if needed, to the case where </w:t>
      </w:r>
      <w:r w:rsidRPr="00FE0392">
        <w:t xml:space="preserve">SIB is available, including the concerned PC5 frequency, but including </w:t>
      </w:r>
      <w:r w:rsidRPr="00FE0392">
        <w:t>neither</w:t>
      </w:r>
      <w:r w:rsidRPr="00FE0392">
        <w:t xml:space="preserve"> normal </w:t>
      </w:r>
      <w:r w:rsidRPr="00FE0392">
        <w:t xml:space="preserve">nor exceptional </w:t>
      </w:r>
      <w:r w:rsidRPr="00FE0392">
        <w:t>Tx pool</w:t>
      </w:r>
      <w:r w:rsidR="00E93D50">
        <w:t>.</w:t>
      </w:r>
      <w:r>
        <w:t xml:space="preserve"> For this case, R2 at least does not puruse normative change.</w:t>
      </w:r>
      <w:bookmarkEnd w:id="6"/>
      <w:r>
        <w:t xml:space="preserve"> </w:t>
      </w:r>
    </w:p>
    <w:p w14:paraId="0C6C04A5" w14:textId="0A094CB0" w:rsidR="00E44203" w:rsidRPr="00E93D50" w:rsidRDefault="00E44203" w:rsidP="00E93D50"/>
    <w:p w14:paraId="121B23D8" w14:textId="77777777" w:rsidR="00D0573B" w:rsidRDefault="00D0573B">
      <w:pPr>
        <w:pStyle w:val="1"/>
      </w:pPr>
      <w:r>
        <w:t>Conclusion</w:t>
      </w:r>
    </w:p>
    <w:p w14:paraId="363AC2BA" w14:textId="4852125C" w:rsidR="00D0573B" w:rsidRDefault="00D0573B">
      <w:r>
        <w:t>We have the following proposals:</w:t>
      </w:r>
    </w:p>
    <w:p w14:paraId="460F35FA" w14:textId="44C471B0" w:rsidR="00FE0392" w:rsidRDefault="00D0573B">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27260030" w:history="1">
        <w:r w:rsidR="00FE0392" w:rsidRPr="00C00421">
          <w:rPr>
            <w:rStyle w:val="a5"/>
            <w:noProof/>
          </w:rPr>
          <w:t>Proposal 1</w:t>
        </w:r>
        <w:r w:rsidR="00FE0392">
          <w:rPr>
            <w:rFonts w:asciiTheme="minorHAnsi" w:eastAsiaTheme="minorEastAsia" w:hAnsiTheme="minorHAnsi" w:cstheme="minorBidi"/>
            <w:b w:val="0"/>
            <w:noProof/>
            <w:kern w:val="2"/>
            <w:sz w:val="21"/>
          </w:rPr>
          <w:tab/>
        </w:r>
        <w:r w:rsidR="00FE0392" w:rsidRPr="00C00421">
          <w:rPr>
            <w:rStyle w:val="a5"/>
            <w:noProof/>
          </w:rPr>
          <w:t>R2 does not pursue further work to allow pre-configured Tx pool usage by in-coverage UE due to exceptional pool configuration being absent.</w:t>
        </w:r>
      </w:hyperlink>
    </w:p>
    <w:p w14:paraId="50969C26" w14:textId="1DAFC74E" w:rsidR="00FE0392" w:rsidRDefault="00FE0392">
      <w:pPr>
        <w:pStyle w:val="TOC1"/>
        <w:rPr>
          <w:rFonts w:asciiTheme="minorHAnsi" w:eastAsiaTheme="minorEastAsia" w:hAnsiTheme="minorHAnsi" w:cstheme="minorBidi"/>
          <w:b w:val="0"/>
          <w:noProof/>
          <w:kern w:val="2"/>
          <w:sz w:val="21"/>
        </w:rPr>
      </w:pPr>
      <w:hyperlink w:anchor="_Toc127260031" w:history="1">
        <w:r w:rsidRPr="00C00421">
          <w:rPr>
            <w:rStyle w:val="a5"/>
            <w:noProof/>
          </w:rPr>
          <w:t>Proposal 2</w:t>
        </w:r>
        <w:r>
          <w:rPr>
            <w:rFonts w:asciiTheme="minorHAnsi" w:eastAsiaTheme="minorEastAsia" w:hAnsiTheme="minorHAnsi" w:cstheme="minorBidi"/>
            <w:b w:val="0"/>
            <w:noProof/>
            <w:kern w:val="2"/>
            <w:sz w:val="21"/>
          </w:rPr>
          <w:tab/>
        </w:r>
        <w:r w:rsidRPr="00C00421">
          <w:rPr>
            <w:rStyle w:val="a5"/>
            <w:noProof/>
          </w:rPr>
          <w:t>For pre-configured Tx pool usage by out-of-coverage UE, RAN2 limit the discussion, if needed, to the case where SIB is available, including the concerned PC5 frequency, but including neither normal nor exceptional Tx pool. For this case, R2 at least does not puruse normative change.</w:t>
        </w:r>
      </w:hyperlink>
    </w:p>
    <w:p w14:paraId="3BAB227A" w14:textId="3CF13FF6" w:rsidR="00D0573B" w:rsidRDefault="00D0573B">
      <w:r>
        <w:fldChar w:fldCharType="end"/>
      </w:r>
    </w:p>
    <w:sectPr w:rsidR="00D0573B">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4028D" w14:textId="77777777" w:rsidR="00885CE8" w:rsidRDefault="00885CE8">
      <w:pPr>
        <w:spacing w:after="0"/>
      </w:pPr>
      <w:r>
        <w:separator/>
      </w:r>
    </w:p>
  </w:endnote>
  <w:endnote w:type="continuationSeparator" w:id="0">
    <w:p w14:paraId="1526189E" w14:textId="77777777" w:rsidR="00885CE8" w:rsidRDefault="00885C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F526F4" w:rsidRDefault="00F526F4">
    <w:pPr>
      <w:pStyle w:val="aa"/>
      <w:tabs>
        <w:tab w:val="center" w:pos="4820"/>
        <w:tab w:val="right" w:pos="9639"/>
      </w:tabs>
      <w:jc w:val="left"/>
    </w:pPr>
    <w:r>
      <w:tab/>
    </w:r>
    <w:r>
      <w:fldChar w:fldCharType="begin"/>
    </w:r>
    <w:r>
      <w:rPr>
        <w:rStyle w:val="a6"/>
      </w:rPr>
      <w:instrText xml:space="preserve"> PAGE </w:instrText>
    </w:r>
    <w:r>
      <w:fldChar w:fldCharType="separate"/>
    </w:r>
    <w:r>
      <w:rPr>
        <w:rStyle w:val="a6"/>
        <w:noProof/>
      </w:rPr>
      <w:t>3</w:t>
    </w:r>
    <w:r>
      <w:fldChar w:fldCharType="end"/>
    </w:r>
    <w:r>
      <w:rPr>
        <w:rStyle w:val="a6"/>
      </w:rPr>
      <w:t>/</w:t>
    </w:r>
    <w:r>
      <w:fldChar w:fldCharType="begin"/>
    </w:r>
    <w:r>
      <w:rPr>
        <w:rStyle w:val="a6"/>
      </w:rPr>
      <w:instrText xml:space="preserve"> NUMPAGES </w:instrText>
    </w:r>
    <w:r>
      <w:fldChar w:fldCharType="separate"/>
    </w:r>
    <w:r>
      <w:rPr>
        <w:rStyle w:val="a6"/>
        <w:noProof/>
      </w:rPr>
      <w:t>11</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85622" w14:textId="77777777" w:rsidR="00885CE8" w:rsidRDefault="00885CE8">
      <w:pPr>
        <w:spacing w:after="0"/>
      </w:pPr>
      <w:r>
        <w:separator/>
      </w:r>
    </w:p>
  </w:footnote>
  <w:footnote w:type="continuationSeparator" w:id="0">
    <w:p w14:paraId="6BEB5207" w14:textId="77777777" w:rsidR="00885CE8" w:rsidRDefault="00885CE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EE615DE"/>
    <w:multiLevelType w:val="hybridMultilevel"/>
    <w:tmpl w:val="E8B044E6"/>
    <w:lvl w:ilvl="0" w:tplc="E20ED1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AC52D8"/>
    <w:multiLevelType w:val="hybridMultilevel"/>
    <w:tmpl w:val="25DA6FEE"/>
    <w:lvl w:ilvl="0" w:tplc="E90AB3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14C619F"/>
    <w:multiLevelType w:val="hybridMultilevel"/>
    <w:tmpl w:val="BCD6FB56"/>
    <w:lvl w:ilvl="0" w:tplc="4042AB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6871BC0"/>
    <w:multiLevelType w:val="hybridMultilevel"/>
    <w:tmpl w:val="2A7424A8"/>
    <w:lvl w:ilvl="0" w:tplc="25C8C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7A618A0"/>
    <w:multiLevelType w:val="hybridMultilevel"/>
    <w:tmpl w:val="BB0EB496"/>
    <w:lvl w:ilvl="0" w:tplc="65C225EA">
      <w:start w:val="1"/>
      <w:numFmt w:val="decimal"/>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19524415">
    <w:abstractNumId w:val="0"/>
  </w:num>
  <w:num w:numId="2" w16cid:durableId="1669401916">
    <w:abstractNumId w:val="11"/>
  </w:num>
  <w:num w:numId="3" w16cid:durableId="1063329923">
    <w:abstractNumId w:val="3"/>
  </w:num>
  <w:num w:numId="4" w16cid:durableId="531575562">
    <w:abstractNumId w:val="7"/>
  </w:num>
  <w:num w:numId="5" w16cid:durableId="463083260">
    <w:abstractNumId w:val="2"/>
  </w:num>
  <w:num w:numId="6" w16cid:durableId="1421214507">
    <w:abstractNumId w:val="6"/>
  </w:num>
  <w:num w:numId="7" w16cid:durableId="1488395239">
    <w:abstractNumId w:val="5"/>
  </w:num>
  <w:num w:numId="8" w16cid:durableId="575163152">
    <w:abstractNumId w:val="9"/>
  </w:num>
  <w:num w:numId="9" w16cid:durableId="850147378">
    <w:abstractNumId w:val="18"/>
  </w:num>
  <w:num w:numId="10" w16cid:durableId="2068336034">
    <w:abstractNumId w:val="10"/>
  </w:num>
  <w:num w:numId="11" w16cid:durableId="657537951">
    <w:abstractNumId w:val="17"/>
  </w:num>
  <w:num w:numId="12" w16cid:durableId="479346819">
    <w:abstractNumId w:val="13"/>
  </w:num>
  <w:num w:numId="13" w16cid:durableId="1438914644">
    <w:abstractNumId w:val="16"/>
  </w:num>
  <w:num w:numId="14" w16cid:durableId="18282848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34430756">
    <w:abstractNumId w:val="15"/>
  </w:num>
  <w:num w:numId="16" w16cid:durableId="995763826">
    <w:abstractNumId w:val="9"/>
  </w:num>
  <w:num w:numId="17" w16cid:durableId="1136529986">
    <w:abstractNumId w:val="14"/>
  </w:num>
  <w:num w:numId="18" w16cid:durableId="71969457">
    <w:abstractNumId w:val="1"/>
  </w:num>
  <w:num w:numId="19" w16cid:durableId="286401984">
    <w:abstractNumId w:val="4"/>
  </w:num>
  <w:num w:numId="20" w16cid:durableId="31417749">
    <w:abstractNumId w:val="9"/>
  </w:num>
  <w:num w:numId="21" w16cid:durableId="201834322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hideSpellingErrors/>
  <w:hideGrammaticalErrors/>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agFAB2oSS0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6E13"/>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325B8"/>
    <w:rsid w:val="00032EFB"/>
    <w:rsid w:val="000344AF"/>
    <w:rsid w:val="00034C15"/>
    <w:rsid w:val="000363CA"/>
    <w:rsid w:val="00036647"/>
    <w:rsid w:val="0003688D"/>
    <w:rsid w:val="00036BA1"/>
    <w:rsid w:val="00037349"/>
    <w:rsid w:val="000400F8"/>
    <w:rsid w:val="000402F5"/>
    <w:rsid w:val="00040963"/>
    <w:rsid w:val="000422E2"/>
    <w:rsid w:val="000429C3"/>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620B"/>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3F"/>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88C"/>
    <w:rsid w:val="000A56F2"/>
    <w:rsid w:val="000A69D3"/>
    <w:rsid w:val="000A712A"/>
    <w:rsid w:val="000B190F"/>
    <w:rsid w:val="000B1999"/>
    <w:rsid w:val="000B1E14"/>
    <w:rsid w:val="000B2372"/>
    <w:rsid w:val="000B2467"/>
    <w:rsid w:val="000B2719"/>
    <w:rsid w:val="000B276C"/>
    <w:rsid w:val="000B294C"/>
    <w:rsid w:val="000B3A8F"/>
    <w:rsid w:val="000B3B7A"/>
    <w:rsid w:val="000B3D7A"/>
    <w:rsid w:val="000B454B"/>
    <w:rsid w:val="000B4AB9"/>
    <w:rsid w:val="000B4E5C"/>
    <w:rsid w:val="000B4ECB"/>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316B"/>
    <w:rsid w:val="000D3FD1"/>
    <w:rsid w:val="000D4797"/>
    <w:rsid w:val="000D4BD7"/>
    <w:rsid w:val="000D653E"/>
    <w:rsid w:val="000D67B4"/>
    <w:rsid w:val="000E018D"/>
    <w:rsid w:val="000E0527"/>
    <w:rsid w:val="000E1CC0"/>
    <w:rsid w:val="000E1E92"/>
    <w:rsid w:val="000E2210"/>
    <w:rsid w:val="000E333E"/>
    <w:rsid w:val="000E38A5"/>
    <w:rsid w:val="000E4DDF"/>
    <w:rsid w:val="000E59C1"/>
    <w:rsid w:val="000E5D4A"/>
    <w:rsid w:val="000E69F5"/>
    <w:rsid w:val="000E6AED"/>
    <w:rsid w:val="000E711D"/>
    <w:rsid w:val="000F06D6"/>
    <w:rsid w:val="000F09D6"/>
    <w:rsid w:val="000F0B39"/>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AD"/>
    <w:rsid w:val="0011074E"/>
    <w:rsid w:val="001110A6"/>
    <w:rsid w:val="00112487"/>
    <w:rsid w:val="001125F7"/>
    <w:rsid w:val="001126EF"/>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4A42"/>
    <w:rsid w:val="00146774"/>
    <w:rsid w:val="00146865"/>
    <w:rsid w:val="00146960"/>
    <w:rsid w:val="001469D0"/>
    <w:rsid w:val="001475B7"/>
    <w:rsid w:val="00147C23"/>
    <w:rsid w:val="00147F0C"/>
    <w:rsid w:val="00150427"/>
    <w:rsid w:val="00150AB2"/>
    <w:rsid w:val="00151CF8"/>
    <w:rsid w:val="00151E23"/>
    <w:rsid w:val="0015219A"/>
    <w:rsid w:val="001526E0"/>
    <w:rsid w:val="001542F7"/>
    <w:rsid w:val="0015514C"/>
    <w:rsid w:val="001551B5"/>
    <w:rsid w:val="00155C52"/>
    <w:rsid w:val="00155D49"/>
    <w:rsid w:val="00156930"/>
    <w:rsid w:val="001605D8"/>
    <w:rsid w:val="00163066"/>
    <w:rsid w:val="00164B62"/>
    <w:rsid w:val="00165545"/>
    <w:rsid w:val="001659C1"/>
    <w:rsid w:val="00166588"/>
    <w:rsid w:val="00166BB5"/>
    <w:rsid w:val="0016782D"/>
    <w:rsid w:val="00170294"/>
    <w:rsid w:val="001710FA"/>
    <w:rsid w:val="001719C5"/>
    <w:rsid w:val="00171F8B"/>
    <w:rsid w:val="001720BD"/>
    <w:rsid w:val="00172C64"/>
    <w:rsid w:val="001732EC"/>
    <w:rsid w:val="00173A8E"/>
    <w:rsid w:val="00173DB1"/>
    <w:rsid w:val="0017409D"/>
    <w:rsid w:val="00175CE6"/>
    <w:rsid w:val="00176A65"/>
    <w:rsid w:val="001772CC"/>
    <w:rsid w:val="00177FA2"/>
    <w:rsid w:val="00180120"/>
    <w:rsid w:val="0018143F"/>
    <w:rsid w:val="00182AC3"/>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63C"/>
    <w:rsid w:val="00197DF9"/>
    <w:rsid w:val="00197E05"/>
    <w:rsid w:val="001A0948"/>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113"/>
    <w:rsid w:val="001B42D4"/>
    <w:rsid w:val="001B4EA3"/>
    <w:rsid w:val="001B58B3"/>
    <w:rsid w:val="001B5A5D"/>
    <w:rsid w:val="001B6D62"/>
    <w:rsid w:val="001B7284"/>
    <w:rsid w:val="001C0E23"/>
    <w:rsid w:val="001C129A"/>
    <w:rsid w:val="001C1CE5"/>
    <w:rsid w:val="001C2A1A"/>
    <w:rsid w:val="001C2DC5"/>
    <w:rsid w:val="001C3090"/>
    <w:rsid w:val="001C3832"/>
    <w:rsid w:val="001C3D2A"/>
    <w:rsid w:val="001C3F1A"/>
    <w:rsid w:val="001C56D7"/>
    <w:rsid w:val="001C7541"/>
    <w:rsid w:val="001C77B8"/>
    <w:rsid w:val="001D0BDB"/>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A3A"/>
    <w:rsid w:val="001E4AA5"/>
    <w:rsid w:val="001E58E2"/>
    <w:rsid w:val="001E7AED"/>
    <w:rsid w:val="001F0CCF"/>
    <w:rsid w:val="001F3916"/>
    <w:rsid w:val="001F3DC2"/>
    <w:rsid w:val="001F54C5"/>
    <w:rsid w:val="001F6031"/>
    <w:rsid w:val="001F6452"/>
    <w:rsid w:val="001F6563"/>
    <w:rsid w:val="001F662C"/>
    <w:rsid w:val="001F7074"/>
    <w:rsid w:val="001F780C"/>
    <w:rsid w:val="001F7A7C"/>
    <w:rsid w:val="00200490"/>
    <w:rsid w:val="00200F95"/>
    <w:rsid w:val="00201F3A"/>
    <w:rsid w:val="00202441"/>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5610"/>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59D"/>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1DA6"/>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D71"/>
    <w:rsid w:val="002C0F8B"/>
    <w:rsid w:val="002C41E6"/>
    <w:rsid w:val="002C61DF"/>
    <w:rsid w:val="002C62E1"/>
    <w:rsid w:val="002C7540"/>
    <w:rsid w:val="002D071A"/>
    <w:rsid w:val="002D0994"/>
    <w:rsid w:val="002D269B"/>
    <w:rsid w:val="002D34B2"/>
    <w:rsid w:val="002D36C3"/>
    <w:rsid w:val="002D3825"/>
    <w:rsid w:val="002D395B"/>
    <w:rsid w:val="002D410F"/>
    <w:rsid w:val="002D440F"/>
    <w:rsid w:val="002D485A"/>
    <w:rsid w:val="002D5BE9"/>
    <w:rsid w:val="002D733F"/>
    <w:rsid w:val="002D7637"/>
    <w:rsid w:val="002E0D2D"/>
    <w:rsid w:val="002E178A"/>
    <w:rsid w:val="002E17F2"/>
    <w:rsid w:val="002E2BF2"/>
    <w:rsid w:val="002E2EF6"/>
    <w:rsid w:val="002E3600"/>
    <w:rsid w:val="002E5157"/>
    <w:rsid w:val="002E5A92"/>
    <w:rsid w:val="002E7C4D"/>
    <w:rsid w:val="002E7CAE"/>
    <w:rsid w:val="002F010F"/>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313B"/>
    <w:rsid w:val="003034C3"/>
    <w:rsid w:val="0030389B"/>
    <w:rsid w:val="003048D2"/>
    <w:rsid w:val="00304BD0"/>
    <w:rsid w:val="0030501F"/>
    <w:rsid w:val="003066C7"/>
    <w:rsid w:val="00306C1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DE"/>
    <w:rsid w:val="00315AAF"/>
    <w:rsid w:val="00315C3D"/>
    <w:rsid w:val="003169FE"/>
    <w:rsid w:val="003203ED"/>
    <w:rsid w:val="00320683"/>
    <w:rsid w:val="00320D8F"/>
    <w:rsid w:val="00321B01"/>
    <w:rsid w:val="00321BF4"/>
    <w:rsid w:val="00321CCD"/>
    <w:rsid w:val="00322C9F"/>
    <w:rsid w:val="00324D23"/>
    <w:rsid w:val="00325289"/>
    <w:rsid w:val="003252B2"/>
    <w:rsid w:val="003264B4"/>
    <w:rsid w:val="00326BBC"/>
    <w:rsid w:val="00327A7D"/>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424D"/>
    <w:rsid w:val="003458E7"/>
    <w:rsid w:val="003467BD"/>
    <w:rsid w:val="00346D01"/>
    <w:rsid w:val="00346DB5"/>
    <w:rsid w:val="00346EBF"/>
    <w:rsid w:val="00346F2B"/>
    <w:rsid w:val="003477B1"/>
    <w:rsid w:val="00347DF4"/>
    <w:rsid w:val="00350175"/>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45BF"/>
    <w:rsid w:val="003753A4"/>
    <w:rsid w:val="003771EE"/>
    <w:rsid w:val="003773B2"/>
    <w:rsid w:val="00377CE1"/>
    <w:rsid w:val="00377FE3"/>
    <w:rsid w:val="003829C3"/>
    <w:rsid w:val="00385343"/>
    <w:rsid w:val="00385BF0"/>
    <w:rsid w:val="00386421"/>
    <w:rsid w:val="00387040"/>
    <w:rsid w:val="00390339"/>
    <w:rsid w:val="0039038E"/>
    <w:rsid w:val="00392011"/>
    <w:rsid w:val="00392421"/>
    <w:rsid w:val="0039259B"/>
    <w:rsid w:val="003939FF"/>
    <w:rsid w:val="003942D0"/>
    <w:rsid w:val="00394E08"/>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1054"/>
    <w:rsid w:val="003E15FA"/>
    <w:rsid w:val="003E19D5"/>
    <w:rsid w:val="003E2466"/>
    <w:rsid w:val="003E2D83"/>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837"/>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07EBD"/>
    <w:rsid w:val="00410134"/>
    <w:rsid w:val="00410B72"/>
    <w:rsid w:val="00410D6A"/>
    <w:rsid w:val="00410E28"/>
    <w:rsid w:val="00410F18"/>
    <w:rsid w:val="00411261"/>
    <w:rsid w:val="004117F1"/>
    <w:rsid w:val="0041263E"/>
    <w:rsid w:val="00413AAC"/>
    <w:rsid w:val="00413E92"/>
    <w:rsid w:val="004151C7"/>
    <w:rsid w:val="00417191"/>
    <w:rsid w:val="00417BC8"/>
    <w:rsid w:val="00420059"/>
    <w:rsid w:val="00420936"/>
    <w:rsid w:val="00421105"/>
    <w:rsid w:val="00421CBB"/>
    <w:rsid w:val="00422B15"/>
    <w:rsid w:val="00422D45"/>
    <w:rsid w:val="004242F4"/>
    <w:rsid w:val="00425114"/>
    <w:rsid w:val="00425B88"/>
    <w:rsid w:val="00425ED4"/>
    <w:rsid w:val="00427248"/>
    <w:rsid w:val="00427F3C"/>
    <w:rsid w:val="00430700"/>
    <w:rsid w:val="004316AB"/>
    <w:rsid w:val="00431707"/>
    <w:rsid w:val="00431A2C"/>
    <w:rsid w:val="00431BD2"/>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6B91"/>
    <w:rsid w:val="00457565"/>
    <w:rsid w:val="00457B71"/>
    <w:rsid w:val="004620FA"/>
    <w:rsid w:val="00463505"/>
    <w:rsid w:val="004652FD"/>
    <w:rsid w:val="004669E2"/>
    <w:rsid w:val="004707B7"/>
    <w:rsid w:val="00470C31"/>
    <w:rsid w:val="0047204C"/>
    <w:rsid w:val="004726C1"/>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1D21"/>
    <w:rsid w:val="00492BC5"/>
    <w:rsid w:val="004964F1"/>
    <w:rsid w:val="0049698D"/>
    <w:rsid w:val="00496ABA"/>
    <w:rsid w:val="004A0FE2"/>
    <w:rsid w:val="004A11D7"/>
    <w:rsid w:val="004A16BC"/>
    <w:rsid w:val="004A1BB2"/>
    <w:rsid w:val="004A2B94"/>
    <w:rsid w:val="004A3D72"/>
    <w:rsid w:val="004A4DB9"/>
    <w:rsid w:val="004A64FA"/>
    <w:rsid w:val="004B02FD"/>
    <w:rsid w:val="004B09A0"/>
    <w:rsid w:val="004B1FA5"/>
    <w:rsid w:val="004B254E"/>
    <w:rsid w:val="004B2B6D"/>
    <w:rsid w:val="004B32A3"/>
    <w:rsid w:val="004B4ECD"/>
    <w:rsid w:val="004B5C2F"/>
    <w:rsid w:val="004B72FC"/>
    <w:rsid w:val="004B7C0C"/>
    <w:rsid w:val="004C005B"/>
    <w:rsid w:val="004C089A"/>
    <w:rsid w:val="004C3898"/>
    <w:rsid w:val="004C4246"/>
    <w:rsid w:val="004C49D0"/>
    <w:rsid w:val="004C57ED"/>
    <w:rsid w:val="004C6233"/>
    <w:rsid w:val="004C6FC1"/>
    <w:rsid w:val="004D1E7F"/>
    <w:rsid w:val="004D1F5A"/>
    <w:rsid w:val="004D22F6"/>
    <w:rsid w:val="004D36B1"/>
    <w:rsid w:val="004D3ACD"/>
    <w:rsid w:val="004D3F54"/>
    <w:rsid w:val="004D6368"/>
    <w:rsid w:val="004D6804"/>
    <w:rsid w:val="004D6C51"/>
    <w:rsid w:val="004D6F96"/>
    <w:rsid w:val="004D7EBD"/>
    <w:rsid w:val="004E05A5"/>
    <w:rsid w:val="004E0A26"/>
    <w:rsid w:val="004E143B"/>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649"/>
    <w:rsid w:val="004F40AE"/>
    <w:rsid w:val="004F4DA3"/>
    <w:rsid w:val="004F7843"/>
    <w:rsid w:val="004F789D"/>
    <w:rsid w:val="004F7C46"/>
    <w:rsid w:val="005002E4"/>
    <w:rsid w:val="0050102E"/>
    <w:rsid w:val="0050162A"/>
    <w:rsid w:val="00501E42"/>
    <w:rsid w:val="0050235F"/>
    <w:rsid w:val="0050265B"/>
    <w:rsid w:val="005033A5"/>
    <w:rsid w:val="00503975"/>
    <w:rsid w:val="00503E4C"/>
    <w:rsid w:val="005043C7"/>
    <w:rsid w:val="00504AC5"/>
    <w:rsid w:val="00505110"/>
    <w:rsid w:val="0050528C"/>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1897"/>
    <w:rsid w:val="00542AEF"/>
    <w:rsid w:val="00542BCE"/>
    <w:rsid w:val="00542C6E"/>
    <w:rsid w:val="005431B2"/>
    <w:rsid w:val="005449F6"/>
    <w:rsid w:val="00546970"/>
    <w:rsid w:val="00546F49"/>
    <w:rsid w:val="00551976"/>
    <w:rsid w:val="00552585"/>
    <w:rsid w:val="0055316E"/>
    <w:rsid w:val="00554E19"/>
    <w:rsid w:val="0055680F"/>
    <w:rsid w:val="005574E6"/>
    <w:rsid w:val="00560F4B"/>
    <w:rsid w:val="0056121F"/>
    <w:rsid w:val="0056176B"/>
    <w:rsid w:val="00564860"/>
    <w:rsid w:val="00564D51"/>
    <w:rsid w:val="005652B0"/>
    <w:rsid w:val="00565CF0"/>
    <w:rsid w:val="005662A3"/>
    <w:rsid w:val="00566D80"/>
    <w:rsid w:val="00567261"/>
    <w:rsid w:val="00567386"/>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4D30"/>
    <w:rsid w:val="00585C92"/>
    <w:rsid w:val="00586D50"/>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0C5"/>
    <w:rsid w:val="005A29FD"/>
    <w:rsid w:val="005A5149"/>
    <w:rsid w:val="005A6048"/>
    <w:rsid w:val="005A662D"/>
    <w:rsid w:val="005B0395"/>
    <w:rsid w:val="005B0428"/>
    <w:rsid w:val="005B0678"/>
    <w:rsid w:val="005B0ACC"/>
    <w:rsid w:val="005B15B8"/>
    <w:rsid w:val="005B20B5"/>
    <w:rsid w:val="005B35D7"/>
    <w:rsid w:val="005B3874"/>
    <w:rsid w:val="005B392A"/>
    <w:rsid w:val="005B3AA3"/>
    <w:rsid w:val="005B3E9F"/>
    <w:rsid w:val="005B43C4"/>
    <w:rsid w:val="005B44FC"/>
    <w:rsid w:val="005B50DB"/>
    <w:rsid w:val="005B6F83"/>
    <w:rsid w:val="005B73A4"/>
    <w:rsid w:val="005C0030"/>
    <w:rsid w:val="005C0A0D"/>
    <w:rsid w:val="005C1A97"/>
    <w:rsid w:val="005C3B16"/>
    <w:rsid w:val="005C4FAF"/>
    <w:rsid w:val="005C58E5"/>
    <w:rsid w:val="005C5C7E"/>
    <w:rsid w:val="005C64A5"/>
    <w:rsid w:val="005C6F97"/>
    <w:rsid w:val="005C74FB"/>
    <w:rsid w:val="005D1602"/>
    <w:rsid w:val="005D2D1D"/>
    <w:rsid w:val="005D4206"/>
    <w:rsid w:val="005D5E76"/>
    <w:rsid w:val="005D7237"/>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24A"/>
    <w:rsid w:val="005F3CBD"/>
    <w:rsid w:val="005F3CEC"/>
    <w:rsid w:val="005F400E"/>
    <w:rsid w:val="005F501E"/>
    <w:rsid w:val="005F5ADE"/>
    <w:rsid w:val="005F5F00"/>
    <w:rsid w:val="005F618C"/>
    <w:rsid w:val="005F70BD"/>
    <w:rsid w:val="005F78C6"/>
    <w:rsid w:val="005F7E30"/>
    <w:rsid w:val="006007EA"/>
    <w:rsid w:val="00600C8F"/>
    <w:rsid w:val="0060150A"/>
    <w:rsid w:val="006025F9"/>
    <w:rsid w:val="0060263F"/>
    <w:rsid w:val="0060283C"/>
    <w:rsid w:val="0060334B"/>
    <w:rsid w:val="006039AD"/>
    <w:rsid w:val="00604F14"/>
    <w:rsid w:val="0060528B"/>
    <w:rsid w:val="00605419"/>
    <w:rsid w:val="0060667C"/>
    <w:rsid w:val="00606A65"/>
    <w:rsid w:val="00611B83"/>
    <w:rsid w:val="00612A50"/>
    <w:rsid w:val="00613257"/>
    <w:rsid w:val="0061342C"/>
    <w:rsid w:val="0061437E"/>
    <w:rsid w:val="006146CE"/>
    <w:rsid w:val="00615AC2"/>
    <w:rsid w:val="00616509"/>
    <w:rsid w:val="006165A1"/>
    <w:rsid w:val="00617052"/>
    <w:rsid w:val="006177A7"/>
    <w:rsid w:val="00620A71"/>
    <w:rsid w:val="00620D80"/>
    <w:rsid w:val="006231F5"/>
    <w:rsid w:val="00623355"/>
    <w:rsid w:val="006234A6"/>
    <w:rsid w:val="00623A29"/>
    <w:rsid w:val="00623CD0"/>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71B"/>
    <w:rsid w:val="00634A6D"/>
    <w:rsid w:val="00635037"/>
    <w:rsid w:val="0063608E"/>
    <w:rsid w:val="0063623C"/>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4CDC"/>
    <w:rsid w:val="0064624E"/>
    <w:rsid w:val="00650811"/>
    <w:rsid w:val="00650AB9"/>
    <w:rsid w:val="006511BC"/>
    <w:rsid w:val="00651429"/>
    <w:rsid w:val="006521DB"/>
    <w:rsid w:val="006536C1"/>
    <w:rsid w:val="00654EF1"/>
    <w:rsid w:val="00655733"/>
    <w:rsid w:val="00655ACD"/>
    <w:rsid w:val="00656A92"/>
    <w:rsid w:val="00656A99"/>
    <w:rsid w:val="00656DDE"/>
    <w:rsid w:val="00657E3C"/>
    <w:rsid w:val="0066011D"/>
    <w:rsid w:val="00660190"/>
    <w:rsid w:val="00660233"/>
    <w:rsid w:val="006607C0"/>
    <w:rsid w:val="00660879"/>
    <w:rsid w:val="00660DB2"/>
    <w:rsid w:val="006613A6"/>
    <w:rsid w:val="006627A2"/>
    <w:rsid w:val="00662E1E"/>
    <w:rsid w:val="00662F29"/>
    <w:rsid w:val="006634E6"/>
    <w:rsid w:val="00663F31"/>
    <w:rsid w:val="006655EE"/>
    <w:rsid w:val="006658E7"/>
    <w:rsid w:val="00665F15"/>
    <w:rsid w:val="0066707C"/>
    <w:rsid w:val="006673DC"/>
    <w:rsid w:val="00667843"/>
    <w:rsid w:val="00667EE7"/>
    <w:rsid w:val="00670922"/>
    <w:rsid w:val="00670A05"/>
    <w:rsid w:val="00670BE1"/>
    <w:rsid w:val="0067114E"/>
    <w:rsid w:val="00671D18"/>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0061"/>
    <w:rsid w:val="006807B0"/>
    <w:rsid w:val="00681003"/>
    <w:rsid w:val="006817C9"/>
    <w:rsid w:val="00683E3F"/>
    <w:rsid w:val="00683ECE"/>
    <w:rsid w:val="00684C20"/>
    <w:rsid w:val="00687953"/>
    <w:rsid w:val="00690824"/>
    <w:rsid w:val="006918E0"/>
    <w:rsid w:val="00691AC8"/>
    <w:rsid w:val="0069337E"/>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DBB"/>
    <w:rsid w:val="006B7666"/>
    <w:rsid w:val="006C03B8"/>
    <w:rsid w:val="006C15E2"/>
    <w:rsid w:val="006C1D7B"/>
    <w:rsid w:val="006C1DB4"/>
    <w:rsid w:val="006C22F4"/>
    <w:rsid w:val="006C380A"/>
    <w:rsid w:val="006C49AF"/>
    <w:rsid w:val="006C5073"/>
    <w:rsid w:val="006C5EC9"/>
    <w:rsid w:val="006C6028"/>
    <w:rsid w:val="006C6059"/>
    <w:rsid w:val="006C6949"/>
    <w:rsid w:val="006C7522"/>
    <w:rsid w:val="006D04D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233"/>
    <w:rsid w:val="006E7A5B"/>
    <w:rsid w:val="006E7D3B"/>
    <w:rsid w:val="006F10F0"/>
    <w:rsid w:val="006F11FE"/>
    <w:rsid w:val="006F14E6"/>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20A0"/>
    <w:rsid w:val="0070251E"/>
    <w:rsid w:val="0070346E"/>
    <w:rsid w:val="00703909"/>
    <w:rsid w:val="00703CA3"/>
    <w:rsid w:val="00704EDB"/>
    <w:rsid w:val="00706101"/>
    <w:rsid w:val="00707072"/>
    <w:rsid w:val="0070714D"/>
    <w:rsid w:val="00707D61"/>
    <w:rsid w:val="00710EE5"/>
    <w:rsid w:val="00712287"/>
    <w:rsid w:val="00712772"/>
    <w:rsid w:val="00712EA9"/>
    <w:rsid w:val="00713852"/>
    <w:rsid w:val="00713AEA"/>
    <w:rsid w:val="00713D85"/>
    <w:rsid w:val="00713DFC"/>
    <w:rsid w:val="007148D3"/>
    <w:rsid w:val="00715B9A"/>
    <w:rsid w:val="007165ED"/>
    <w:rsid w:val="007175D4"/>
    <w:rsid w:val="0072225D"/>
    <w:rsid w:val="007227CC"/>
    <w:rsid w:val="00724516"/>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A40"/>
    <w:rsid w:val="00736D7D"/>
    <w:rsid w:val="007375F2"/>
    <w:rsid w:val="00740E58"/>
    <w:rsid w:val="0074266D"/>
    <w:rsid w:val="007426BE"/>
    <w:rsid w:val="007434E0"/>
    <w:rsid w:val="00743630"/>
    <w:rsid w:val="007445A0"/>
    <w:rsid w:val="0074524B"/>
    <w:rsid w:val="00745B87"/>
    <w:rsid w:val="00745E03"/>
    <w:rsid w:val="00746365"/>
    <w:rsid w:val="00746D6B"/>
    <w:rsid w:val="007472DF"/>
    <w:rsid w:val="0074743B"/>
    <w:rsid w:val="007474B6"/>
    <w:rsid w:val="00747D8B"/>
    <w:rsid w:val="007504C4"/>
    <w:rsid w:val="00751228"/>
    <w:rsid w:val="00753D8E"/>
    <w:rsid w:val="007540F3"/>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5C7"/>
    <w:rsid w:val="00773D41"/>
    <w:rsid w:val="0077428A"/>
    <w:rsid w:val="00774748"/>
    <w:rsid w:val="00775299"/>
    <w:rsid w:val="007755F2"/>
    <w:rsid w:val="00776416"/>
    <w:rsid w:val="007764AF"/>
    <w:rsid w:val="007767E2"/>
    <w:rsid w:val="00776971"/>
    <w:rsid w:val="007771D1"/>
    <w:rsid w:val="007775E1"/>
    <w:rsid w:val="00777884"/>
    <w:rsid w:val="00780524"/>
    <w:rsid w:val="0078063E"/>
    <w:rsid w:val="007816A7"/>
    <w:rsid w:val="0078177E"/>
    <w:rsid w:val="00782173"/>
    <w:rsid w:val="007821E0"/>
    <w:rsid w:val="00782367"/>
    <w:rsid w:val="0078304C"/>
    <w:rsid w:val="00783673"/>
    <w:rsid w:val="00784EBA"/>
    <w:rsid w:val="00785490"/>
    <w:rsid w:val="0078591D"/>
    <w:rsid w:val="0078701F"/>
    <w:rsid w:val="007878D1"/>
    <w:rsid w:val="00787C29"/>
    <w:rsid w:val="00790BF7"/>
    <w:rsid w:val="007914F2"/>
    <w:rsid w:val="007916DF"/>
    <w:rsid w:val="00792054"/>
    <w:rsid w:val="007925EA"/>
    <w:rsid w:val="007930E5"/>
    <w:rsid w:val="007937AD"/>
    <w:rsid w:val="00793BEE"/>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6A2"/>
    <w:rsid w:val="007B7EC7"/>
    <w:rsid w:val="007C0389"/>
    <w:rsid w:val="007C05DD"/>
    <w:rsid w:val="007C3AFD"/>
    <w:rsid w:val="007C3D18"/>
    <w:rsid w:val="007C4CA6"/>
    <w:rsid w:val="007C52F9"/>
    <w:rsid w:val="007C60BF"/>
    <w:rsid w:val="007C6A07"/>
    <w:rsid w:val="007C75A1"/>
    <w:rsid w:val="007C77A5"/>
    <w:rsid w:val="007D04E5"/>
    <w:rsid w:val="007D0EDA"/>
    <w:rsid w:val="007D0EEC"/>
    <w:rsid w:val="007D170D"/>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320"/>
    <w:rsid w:val="007E55FE"/>
    <w:rsid w:val="007E5618"/>
    <w:rsid w:val="007E5EFF"/>
    <w:rsid w:val="007E7091"/>
    <w:rsid w:val="007E736D"/>
    <w:rsid w:val="007E7F7C"/>
    <w:rsid w:val="007F0999"/>
    <w:rsid w:val="007F22C6"/>
    <w:rsid w:val="007F3D18"/>
    <w:rsid w:val="007F427F"/>
    <w:rsid w:val="007F5BAF"/>
    <w:rsid w:val="007F6931"/>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3D7A"/>
    <w:rsid w:val="008158D6"/>
    <w:rsid w:val="0081599E"/>
    <w:rsid w:val="00816594"/>
    <w:rsid w:val="00816731"/>
    <w:rsid w:val="00816AC3"/>
    <w:rsid w:val="00816CC2"/>
    <w:rsid w:val="00817196"/>
    <w:rsid w:val="00820E6D"/>
    <w:rsid w:val="008218E3"/>
    <w:rsid w:val="00821C5B"/>
    <w:rsid w:val="008223C2"/>
    <w:rsid w:val="00822EA8"/>
    <w:rsid w:val="008235DB"/>
    <w:rsid w:val="00824AB4"/>
    <w:rsid w:val="00824E87"/>
    <w:rsid w:val="00825284"/>
    <w:rsid w:val="00825B9B"/>
    <w:rsid w:val="00825C42"/>
    <w:rsid w:val="00825D25"/>
    <w:rsid w:val="00826590"/>
    <w:rsid w:val="00827D6F"/>
    <w:rsid w:val="00830DCF"/>
    <w:rsid w:val="008326D2"/>
    <w:rsid w:val="00832EE6"/>
    <w:rsid w:val="00833061"/>
    <w:rsid w:val="0083488B"/>
    <w:rsid w:val="0083529D"/>
    <w:rsid w:val="00835942"/>
    <w:rsid w:val="008362D1"/>
    <w:rsid w:val="008376AC"/>
    <w:rsid w:val="00837FF8"/>
    <w:rsid w:val="00840847"/>
    <w:rsid w:val="008412EA"/>
    <w:rsid w:val="0084391E"/>
    <w:rsid w:val="008444E8"/>
    <w:rsid w:val="00844723"/>
    <w:rsid w:val="00844E80"/>
    <w:rsid w:val="00845754"/>
    <w:rsid w:val="0084651D"/>
    <w:rsid w:val="00846FE7"/>
    <w:rsid w:val="008470E5"/>
    <w:rsid w:val="00847316"/>
    <w:rsid w:val="0084745A"/>
    <w:rsid w:val="00850585"/>
    <w:rsid w:val="00850F92"/>
    <w:rsid w:val="008516F5"/>
    <w:rsid w:val="008528D8"/>
    <w:rsid w:val="00853FD9"/>
    <w:rsid w:val="0085566A"/>
    <w:rsid w:val="00855A9E"/>
    <w:rsid w:val="00856911"/>
    <w:rsid w:val="00856F80"/>
    <w:rsid w:val="008571C1"/>
    <w:rsid w:val="00857F50"/>
    <w:rsid w:val="008617AC"/>
    <w:rsid w:val="0086247C"/>
    <w:rsid w:val="0086318D"/>
    <w:rsid w:val="00864DB5"/>
    <w:rsid w:val="00865BAC"/>
    <w:rsid w:val="00865C41"/>
    <w:rsid w:val="008677FD"/>
    <w:rsid w:val="008706D4"/>
    <w:rsid w:val="008707B2"/>
    <w:rsid w:val="00870977"/>
    <w:rsid w:val="00870B11"/>
    <w:rsid w:val="00870F8A"/>
    <w:rsid w:val="00871504"/>
    <w:rsid w:val="008719A4"/>
    <w:rsid w:val="00871D23"/>
    <w:rsid w:val="0087245A"/>
    <w:rsid w:val="00872603"/>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5CE8"/>
    <w:rsid w:val="00886724"/>
    <w:rsid w:val="008869F8"/>
    <w:rsid w:val="00886E16"/>
    <w:rsid w:val="008904F3"/>
    <w:rsid w:val="0089078F"/>
    <w:rsid w:val="00890CA7"/>
    <w:rsid w:val="00891599"/>
    <w:rsid w:val="008928B9"/>
    <w:rsid w:val="00892F30"/>
    <w:rsid w:val="00893048"/>
    <w:rsid w:val="00893F9E"/>
    <w:rsid w:val="00894A88"/>
    <w:rsid w:val="00894FD8"/>
    <w:rsid w:val="00895386"/>
    <w:rsid w:val="00895A6F"/>
    <w:rsid w:val="00895EAC"/>
    <w:rsid w:val="008A0216"/>
    <w:rsid w:val="008A0D2B"/>
    <w:rsid w:val="008A0D45"/>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5CA1"/>
    <w:rsid w:val="008B6762"/>
    <w:rsid w:val="008B6F83"/>
    <w:rsid w:val="008B7650"/>
    <w:rsid w:val="008B781B"/>
    <w:rsid w:val="008B7997"/>
    <w:rsid w:val="008B7B5C"/>
    <w:rsid w:val="008C0B79"/>
    <w:rsid w:val="008C0B84"/>
    <w:rsid w:val="008C0C99"/>
    <w:rsid w:val="008C147E"/>
    <w:rsid w:val="008C1C91"/>
    <w:rsid w:val="008C2017"/>
    <w:rsid w:val="008C4407"/>
    <w:rsid w:val="008C4958"/>
    <w:rsid w:val="008C4BAA"/>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2D12"/>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32D3"/>
    <w:rsid w:val="0090336B"/>
    <w:rsid w:val="009053AA"/>
    <w:rsid w:val="009067C8"/>
    <w:rsid w:val="00906939"/>
    <w:rsid w:val="00910A74"/>
    <w:rsid w:val="00910B7D"/>
    <w:rsid w:val="00911DFB"/>
    <w:rsid w:val="0091311E"/>
    <w:rsid w:val="009139D9"/>
    <w:rsid w:val="00914AD8"/>
    <w:rsid w:val="00916079"/>
    <w:rsid w:val="00917CE9"/>
    <w:rsid w:val="00920BF2"/>
    <w:rsid w:val="00920DCC"/>
    <w:rsid w:val="009210EF"/>
    <w:rsid w:val="00921D86"/>
    <w:rsid w:val="00922010"/>
    <w:rsid w:val="00923EF6"/>
    <w:rsid w:val="00924943"/>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B77"/>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20E8"/>
    <w:rsid w:val="00973E9D"/>
    <w:rsid w:val="0097603D"/>
    <w:rsid w:val="00976949"/>
    <w:rsid w:val="00980477"/>
    <w:rsid w:val="009812FF"/>
    <w:rsid w:val="00981DED"/>
    <w:rsid w:val="00982F05"/>
    <w:rsid w:val="00983466"/>
    <w:rsid w:val="00983A79"/>
    <w:rsid w:val="00985253"/>
    <w:rsid w:val="009853B3"/>
    <w:rsid w:val="00986059"/>
    <w:rsid w:val="00987C96"/>
    <w:rsid w:val="00990630"/>
    <w:rsid w:val="00990B76"/>
    <w:rsid w:val="00990DCB"/>
    <w:rsid w:val="00991761"/>
    <w:rsid w:val="00991887"/>
    <w:rsid w:val="009921D3"/>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7E87"/>
    <w:rsid w:val="009B7F3D"/>
    <w:rsid w:val="009C27EA"/>
    <w:rsid w:val="009C3625"/>
    <w:rsid w:val="009C403E"/>
    <w:rsid w:val="009C4B0A"/>
    <w:rsid w:val="009C5300"/>
    <w:rsid w:val="009D03A8"/>
    <w:rsid w:val="009D194C"/>
    <w:rsid w:val="009D2627"/>
    <w:rsid w:val="009D2C6E"/>
    <w:rsid w:val="009D2F05"/>
    <w:rsid w:val="009D442E"/>
    <w:rsid w:val="009D49B3"/>
    <w:rsid w:val="009D4C7C"/>
    <w:rsid w:val="009D4FF0"/>
    <w:rsid w:val="009D524D"/>
    <w:rsid w:val="009D703C"/>
    <w:rsid w:val="009D718F"/>
    <w:rsid w:val="009E0490"/>
    <w:rsid w:val="009E064A"/>
    <w:rsid w:val="009E068F"/>
    <w:rsid w:val="009E14E0"/>
    <w:rsid w:val="009E172C"/>
    <w:rsid w:val="009E1EF5"/>
    <w:rsid w:val="009E2550"/>
    <w:rsid w:val="009E290E"/>
    <w:rsid w:val="009E35DB"/>
    <w:rsid w:val="009E3D8F"/>
    <w:rsid w:val="009E41A5"/>
    <w:rsid w:val="009E43E9"/>
    <w:rsid w:val="009E47A3"/>
    <w:rsid w:val="009E4CDD"/>
    <w:rsid w:val="009E6B71"/>
    <w:rsid w:val="009E7AEF"/>
    <w:rsid w:val="009E7D6F"/>
    <w:rsid w:val="009F06F7"/>
    <w:rsid w:val="009F08F3"/>
    <w:rsid w:val="009F1F7D"/>
    <w:rsid w:val="009F204D"/>
    <w:rsid w:val="009F2BB4"/>
    <w:rsid w:val="009F344F"/>
    <w:rsid w:val="009F4D4A"/>
    <w:rsid w:val="009F581C"/>
    <w:rsid w:val="009F5D39"/>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471"/>
    <w:rsid w:val="00A13E54"/>
    <w:rsid w:val="00A1430F"/>
    <w:rsid w:val="00A14ED1"/>
    <w:rsid w:val="00A152B1"/>
    <w:rsid w:val="00A15403"/>
    <w:rsid w:val="00A15457"/>
    <w:rsid w:val="00A16040"/>
    <w:rsid w:val="00A1607B"/>
    <w:rsid w:val="00A16DF9"/>
    <w:rsid w:val="00A17F63"/>
    <w:rsid w:val="00A206B3"/>
    <w:rsid w:val="00A208A1"/>
    <w:rsid w:val="00A20CDA"/>
    <w:rsid w:val="00A21191"/>
    <w:rsid w:val="00A2193B"/>
    <w:rsid w:val="00A224BE"/>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71E"/>
    <w:rsid w:val="00A42D3B"/>
    <w:rsid w:val="00A43626"/>
    <w:rsid w:val="00A436E2"/>
    <w:rsid w:val="00A43A56"/>
    <w:rsid w:val="00A440D0"/>
    <w:rsid w:val="00A44966"/>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CCB"/>
    <w:rsid w:val="00A57F52"/>
    <w:rsid w:val="00A61499"/>
    <w:rsid w:val="00A62A77"/>
    <w:rsid w:val="00A62F92"/>
    <w:rsid w:val="00A63483"/>
    <w:rsid w:val="00A63B68"/>
    <w:rsid w:val="00A657D7"/>
    <w:rsid w:val="00A660AC"/>
    <w:rsid w:val="00A663AA"/>
    <w:rsid w:val="00A67664"/>
    <w:rsid w:val="00A67E6C"/>
    <w:rsid w:val="00A71B99"/>
    <w:rsid w:val="00A721B8"/>
    <w:rsid w:val="00A732B1"/>
    <w:rsid w:val="00A738D9"/>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59AA"/>
    <w:rsid w:val="00A95B3B"/>
    <w:rsid w:val="00A96F0A"/>
    <w:rsid w:val="00A97886"/>
    <w:rsid w:val="00A97961"/>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C3C"/>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3EE4"/>
    <w:rsid w:val="00AF42D7"/>
    <w:rsid w:val="00AF457F"/>
    <w:rsid w:val="00AF5157"/>
    <w:rsid w:val="00AF78ED"/>
    <w:rsid w:val="00AF7B02"/>
    <w:rsid w:val="00B006FE"/>
    <w:rsid w:val="00B00732"/>
    <w:rsid w:val="00B007CB"/>
    <w:rsid w:val="00B00AAB"/>
    <w:rsid w:val="00B01107"/>
    <w:rsid w:val="00B02AA9"/>
    <w:rsid w:val="00B02FA3"/>
    <w:rsid w:val="00B02FF3"/>
    <w:rsid w:val="00B03E30"/>
    <w:rsid w:val="00B05084"/>
    <w:rsid w:val="00B05E98"/>
    <w:rsid w:val="00B07DD7"/>
    <w:rsid w:val="00B101E0"/>
    <w:rsid w:val="00B10E4C"/>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1E4F"/>
    <w:rsid w:val="00B2210E"/>
    <w:rsid w:val="00B227E6"/>
    <w:rsid w:val="00B248B0"/>
    <w:rsid w:val="00B26318"/>
    <w:rsid w:val="00B2763F"/>
    <w:rsid w:val="00B27AAC"/>
    <w:rsid w:val="00B27BF7"/>
    <w:rsid w:val="00B30065"/>
    <w:rsid w:val="00B30929"/>
    <w:rsid w:val="00B33012"/>
    <w:rsid w:val="00B3411D"/>
    <w:rsid w:val="00B342DC"/>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475E2"/>
    <w:rsid w:val="00B515AE"/>
    <w:rsid w:val="00B52E5B"/>
    <w:rsid w:val="00B53152"/>
    <w:rsid w:val="00B5336F"/>
    <w:rsid w:val="00B536D4"/>
    <w:rsid w:val="00B53A00"/>
    <w:rsid w:val="00B54340"/>
    <w:rsid w:val="00B555C1"/>
    <w:rsid w:val="00B61138"/>
    <w:rsid w:val="00B61834"/>
    <w:rsid w:val="00B61E49"/>
    <w:rsid w:val="00B6253B"/>
    <w:rsid w:val="00B6329B"/>
    <w:rsid w:val="00B63A04"/>
    <w:rsid w:val="00B6408C"/>
    <w:rsid w:val="00B65587"/>
    <w:rsid w:val="00B664C7"/>
    <w:rsid w:val="00B66605"/>
    <w:rsid w:val="00B70B25"/>
    <w:rsid w:val="00B70C3B"/>
    <w:rsid w:val="00B70D31"/>
    <w:rsid w:val="00B71CD8"/>
    <w:rsid w:val="00B720BF"/>
    <w:rsid w:val="00B721AA"/>
    <w:rsid w:val="00B72D53"/>
    <w:rsid w:val="00B72E1E"/>
    <w:rsid w:val="00B72F0A"/>
    <w:rsid w:val="00B739F6"/>
    <w:rsid w:val="00B77769"/>
    <w:rsid w:val="00B804B0"/>
    <w:rsid w:val="00B81A6C"/>
    <w:rsid w:val="00B84CBD"/>
    <w:rsid w:val="00B8566A"/>
    <w:rsid w:val="00B85839"/>
    <w:rsid w:val="00B85DE5"/>
    <w:rsid w:val="00B866AC"/>
    <w:rsid w:val="00B869D5"/>
    <w:rsid w:val="00B86BA3"/>
    <w:rsid w:val="00B86DAE"/>
    <w:rsid w:val="00B878DE"/>
    <w:rsid w:val="00B87918"/>
    <w:rsid w:val="00B90F73"/>
    <w:rsid w:val="00B911D2"/>
    <w:rsid w:val="00B914B1"/>
    <w:rsid w:val="00B9155B"/>
    <w:rsid w:val="00B922E8"/>
    <w:rsid w:val="00B92FD2"/>
    <w:rsid w:val="00B93B59"/>
    <w:rsid w:val="00B9406A"/>
    <w:rsid w:val="00B94C5A"/>
    <w:rsid w:val="00B9578F"/>
    <w:rsid w:val="00B95B8A"/>
    <w:rsid w:val="00B97825"/>
    <w:rsid w:val="00B97D24"/>
    <w:rsid w:val="00BA2280"/>
    <w:rsid w:val="00BA2437"/>
    <w:rsid w:val="00BA2A08"/>
    <w:rsid w:val="00BA2A57"/>
    <w:rsid w:val="00BA371C"/>
    <w:rsid w:val="00BA56D2"/>
    <w:rsid w:val="00BA5B3F"/>
    <w:rsid w:val="00BA633A"/>
    <w:rsid w:val="00BA76E0"/>
    <w:rsid w:val="00BA7F84"/>
    <w:rsid w:val="00BB0DE1"/>
    <w:rsid w:val="00BB2992"/>
    <w:rsid w:val="00BB29F5"/>
    <w:rsid w:val="00BB2A25"/>
    <w:rsid w:val="00BB4398"/>
    <w:rsid w:val="00BB51E9"/>
    <w:rsid w:val="00BB548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3D22"/>
    <w:rsid w:val="00BD4278"/>
    <w:rsid w:val="00BD48AC"/>
    <w:rsid w:val="00BD48E6"/>
    <w:rsid w:val="00BD4EA6"/>
    <w:rsid w:val="00BD53A8"/>
    <w:rsid w:val="00BD5B7C"/>
    <w:rsid w:val="00BD5EEC"/>
    <w:rsid w:val="00BD5F1A"/>
    <w:rsid w:val="00BD6B3C"/>
    <w:rsid w:val="00BD7A90"/>
    <w:rsid w:val="00BE01AD"/>
    <w:rsid w:val="00BE1234"/>
    <w:rsid w:val="00BE12E2"/>
    <w:rsid w:val="00BE2FA6"/>
    <w:rsid w:val="00BE333F"/>
    <w:rsid w:val="00BE34FC"/>
    <w:rsid w:val="00BE396C"/>
    <w:rsid w:val="00BE5468"/>
    <w:rsid w:val="00BE7406"/>
    <w:rsid w:val="00BE7603"/>
    <w:rsid w:val="00BF0B1D"/>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A0"/>
    <w:rsid w:val="00C124D8"/>
    <w:rsid w:val="00C1250E"/>
    <w:rsid w:val="00C12E64"/>
    <w:rsid w:val="00C13E16"/>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354C"/>
    <w:rsid w:val="00C33F45"/>
    <w:rsid w:val="00C34F5C"/>
    <w:rsid w:val="00C3719D"/>
    <w:rsid w:val="00C37E54"/>
    <w:rsid w:val="00C40AD2"/>
    <w:rsid w:val="00C40F43"/>
    <w:rsid w:val="00C41779"/>
    <w:rsid w:val="00C431FC"/>
    <w:rsid w:val="00C45066"/>
    <w:rsid w:val="00C464A8"/>
    <w:rsid w:val="00C47623"/>
    <w:rsid w:val="00C4795B"/>
    <w:rsid w:val="00C5115A"/>
    <w:rsid w:val="00C516E0"/>
    <w:rsid w:val="00C53FBF"/>
    <w:rsid w:val="00C54995"/>
    <w:rsid w:val="00C54D41"/>
    <w:rsid w:val="00C554CF"/>
    <w:rsid w:val="00C55D4E"/>
    <w:rsid w:val="00C56BFF"/>
    <w:rsid w:val="00C57E38"/>
    <w:rsid w:val="00C60783"/>
    <w:rsid w:val="00C6098D"/>
    <w:rsid w:val="00C61714"/>
    <w:rsid w:val="00C62E0F"/>
    <w:rsid w:val="00C64672"/>
    <w:rsid w:val="00C65171"/>
    <w:rsid w:val="00C65336"/>
    <w:rsid w:val="00C657A8"/>
    <w:rsid w:val="00C65A02"/>
    <w:rsid w:val="00C6660A"/>
    <w:rsid w:val="00C668CF"/>
    <w:rsid w:val="00C66B28"/>
    <w:rsid w:val="00C673FF"/>
    <w:rsid w:val="00C67775"/>
    <w:rsid w:val="00C678F7"/>
    <w:rsid w:val="00C67CE8"/>
    <w:rsid w:val="00C67F96"/>
    <w:rsid w:val="00C70628"/>
    <w:rsid w:val="00C70697"/>
    <w:rsid w:val="00C7070E"/>
    <w:rsid w:val="00C712F2"/>
    <w:rsid w:val="00C7156B"/>
    <w:rsid w:val="00C71715"/>
    <w:rsid w:val="00C721A6"/>
    <w:rsid w:val="00C72735"/>
    <w:rsid w:val="00C72EF4"/>
    <w:rsid w:val="00C734C8"/>
    <w:rsid w:val="00C7406D"/>
    <w:rsid w:val="00C749EF"/>
    <w:rsid w:val="00C74A38"/>
    <w:rsid w:val="00C75D2F"/>
    <w:rsid w:val="00C767BE"/>
    <w:rsid w:val="00C76E3C"/>
    <w:rsid w:val="00C81568"/>
    <w:rsid w:val="00C8174F"/>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028"/>
    <w:rsid w:val="00CC111F"/>
    <w:rsid w:val="00CC18A6"/>
    <w:rsid w:val="00CC1901"/>
    <w:rsid w:val="00CC192B"/>
    <w:rsid w:val="00CC2011"/>
    <w:rsid w:val="00CC21A5"/>
    <w:rsid w:val="00CC3EA0"/>
    <w:rsid w:val="00CC7B45"/>
    <w:rsid w:val="00CC7F71"/>
    <w:rsid w:val="00CD0A37"/>
    <w:rsid w:val="00CD1188"/>
    <w:rsid w:val="00CD2ED1"/>
    <w:rsid w:val="00CD337B"/>
    <w:rsid w:val="00CD4628"/>
    <w:rsid w:val="00CD67BA"/>
    <w:rsid w:val="00CD6F1E"/>
    <w:rsid w:val="00CD7FE4"/>
    <w:rsid w:val="00CE0424"/>
    <w:rsid w:val="00CE2030"/>
    <w:rsid w:val="00CE2C2F"/>
    <w:rsid w:val="00CE2DE8"/>
    <w:rsid w:val="00CE4AD2"/>
    <w:rsid w:val="00CE4EBA"/>
    <w:rsid w:val="00CE50EE"/>
    <w:rsid w:val="00CE5650"/>
    <w:rsid w:val="00CE6B10"/>
    <w:rsid w:val="00CE7561"/>
    <w:rsid w:val="00CF1354"/>
    <w:rsid w:val="00CF1ABC"/>
    <w:rsid w:val="00CF3B1F"/>
    <w:rsid w:val="00CF3BF6"/>
    <w:rsid w:val="00CF3E4A"/>
    <w:rsid w:val="00CF4C4F"/>
    <w:rsid w:val="00CF58C7"/>
    <w:rsid w:val="00CF5B3D"/>
    <w:rsid w:val="00CF625B"/>
    <w:rsid w:val="00CF687E"/>
    <w:rsid w:val="00CF70B8"/>
    <w:rsid w:val="00CF7764"/>
    <w:rsid w:val="00D00118"/>
    <w:rsid w:val="00D02520"/>
    <w:rsid w:val="00D02C0E"/>
    <w:rsid w:val="00D0349B"/>
    <w:rsid w:val="00D045F6"/>
    <w:rsid w:val="00D0573B"/>
    <w:rsid w:val="00D05895"/>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15D7C"/>
    <w:rsid w:val="00D21023"/>
    <w:rsid w:val="00D21845"/>
    <w:rsid w:val="00D2232E"/>
    <w:rsid w:val="00D22C68"/>
    <w:rsid w:val="00D233E8"/>
    <w:rsid w:val="00D236C1"/>
    <w:rsid w:val="00D237D8"/>
    <w:rsid w:val="00D239A7"/>
    <w:rsid w:val="00D23F47"/>
    <w:rsid w:val="00D23FEE"/>
    <w:rsid w:val="00D24C83"/>
    <w:rsid w:val="00D25027"/>
    <w:rsid w:val="00D25216"/>
    <w:rsid w:val="00D2529C"/>
    <w:rsid w:val="00D25D1D"/>
    <w:rsid w:val="00D272FE"/>
    <w:rsid w:val="00D27759"/>
    <w:rsid w:val="00D3041F"/>
    <w:rsid w:val="00D309EB"/>
    <w:rsid w:val="00D30F7A"/>
    <w:rsid w:val="00D312DB"/>
    <w:rsid w:val="00D31A61"/>
    <w:rsid w:val="00D31AB5"/>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52B5"/>
    <w:rsid w:val="00D65796"/>
    <w:rsid w:val="00D65F70"/>
    <w:rsid w:val="00D66155"/>
    <w:rsid w:val="00D669C6"/>
    <w:rsid w:val="00D67097"/>
    <w:rsid w:val="00D67E53"/>
    <w:rsid w:val="00D708B0"/>
    <w:rsid w:val="00D70D3B"/>
    <w:rsid w:val="00D7189E"/>
    <w:rsid w:val="00D71DF2"/>
    <w:rsid w:val="00D72808"/>
    <w:rsid w:val="00D729A3"/>
    <w:rsid w:val="00D72F5C"/>
    <w:rsid w:val="00D7479E"/>
    <w:rsid w:val="00D758C5"/>
    <w:rsid w:val="00D75B91"/>
    <w:rsid w:val="00D75C74"/>
    <w:rsid w:val="00D75E89"/>
    <w:rsid w:val="00D76524"/>
    <w:rsid w:val="00D77407"/>
    <w:rsid w:val="00D77606"/>
    <w:rsid w:val="00D77B1D"/>
    <w:rsid w:val="00D77B31"/>
    <w:rsid w:val="00D8021F"/>
    <w:rsid w:val="00D80383"/>
    <w:rsid w:val="00D81C94"/>
    <w:rsid w:val="00D81F41"/>
    <w:rsid w:val="00D821CE"/>
    <w:rsid w:val="00D823C6"/>
    <w:rsid w:val="00D829E6"/>
    <w:rsid w:val="00D82E87"/>
    <w:rsid w:val="00D83AB7"/>
    <w:rsid w:val="00D83F8E"/>
    <w:rsid w:val="00D83F9F"/>
    <w:rsid w:val="00D854BE"/>
    <w:rsid w:val="00D85BD2"/>
    <w:rsid w:val="00D86CA3"/>
    <w:rsid w:val="00D871CE"/>
    <w:rsid w:val="00D90275"/>
    <w:rsid w:val="00D9196D"/>
    <w:rsid w:val="00D91F2B"/>
    <w:rsid w:val="00D92982"/>
    <w:rsid w:val="00D93A32"/>
    <w:rsid w:val="00D93B70"/>
    <w:rsid w:val="00D9453C"/>
    <w:rsid w:val="00D95CEE"/>
    <w:rsid w:val="00D96FCE"/>
    <w:rsid w:val="00DA0D90"/>
    <w:rsid w:val="00DA18D1"/>
    <w:rsid w:val="00DA1B30"/>
    <w:rsid w:val="00DA2FA3"/>
    <w:rsid w:val="00DA305E"/>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74C2"/>
    <w:rsid w:val="00DB7BDB"/>
    <w:rsid w:val="00DC074F"/>
    <w:rsid w:val="00DC088E"/>
    <w:rsid w:val="00DC0F09"/>
    <w:rsid w:val="00DC15B8"/>
    <w:rsid w:val="00DC1750"/>
    <w:rsid w:val="00DC213E"/>
    <w:rsid w:val="00DC2D36"/>
    <w:rsid w:val="00DC4604"/>
    <w:rsid w:val="00DC47CE"/>
    <w:rsid w:val="00DC53EF"/>
    <w:rsid w:val="00DC6627"/>
    <w:rsid w:val="00DC7AAE"/>
    <w:rsid w:val="00DD0342"/>
    <w:rsid w:val="00DD0610"/>
    <w:rsid w:val="00DD162F"/>
    <w:rsid w:val="00DD184D"/>
    <w:rsid w:val="00DD272F"/>
    <w:rsid w:val="00DD2D64"/>
    <w:rsid w:val="00DD5895"/>
    <w:rsid w:val="00DD61F3"/>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15A"/>
    <w:rsid w:val="00E03780"/>
    <w:rsid w:val="00E0393B"/>
    <w:rsid w:val="00E0440F"/>
    <w:rsid w:val="00E045B2"/>
    <w:rsid w:val="00E04B6A"/>
    <w:rsid w:val="00E05081"/>
    <w:rsid w:val="00E064D3"/>
    <w:rsid w:val="00E06CA4"/>
    <w:rsid w:val="00E077E0"/>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3F5C"/>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1982"/>
    <w:rsid w:val="00E421E9"/>
    <w:rsid w:val="00E42DD7"/>
    <w:rsid w:val="00E430B8"/>
    <w:rsid w:val="00E434B5"/>
    <w:rsid w:val="00E440C3"/>
    <w:rsid w:val="00E440E6"/>
    <w:rsid w:val="00E44203"/>
    <w:rsid w:val="00E446F1"/>
    <w:rsid w:val="00E45931"/>
    <w:rsid w:val="00E460CD"/>
    <w:rsid w:val="00E46886"/>
    <w:rsid w:val="00E47AEF"/>
    <w:rsid w:val="00E500D0"/>
    <w:rsid w:val="00E51DEE"/>
    <w:rsid w:val="00E52125"/>
    <w:rsid w:val="00E525F8"/>
    <w:rsid w:val="00E527FA"/>
    <w:rsid w:val="00E53B75"/>
    <w:rsid w:val="00E54E3B"/>
    <w:rsid w:val="00E57532"/>
    <w:rsid w:val="00E57565"/>
    <w:rsid w:val="00E577A3"/>
    <w:rsid w:val="00E57A93"/>
    <w:rsid w:val="00E57BCB"/>
    <w:rsid w:val="00E61D41"/>
    <w:rsid w:val="00E63838"/>
    <w:rsid w:val="00E642D8"/>
    <w:rsid w:val="00E64434"/>
    <w:rsid w:val="00E6645E"/>
    <w:rsid w:val="00E67C51"/>
    <w:rsid w:val="00E70446"/>
    <w:rsid w:val="00E70887"/>
    <w:rsid w:val="00E71367"/>
    <w:rsid w:val="00E7233A"/>
    <w:rsid w:val="00E72EFC"/>
    <w:rsid w:val="00E72F31"/>
    <w:rsid w:val="00E7418E"/>
    <w:rsid w:val="00E7476F"/>
    <w:rsid w:val="00E74EF5"/>
    <w:rsid w:val="00E758EC"/>
    <w:rsid w:val="00E76517"/>
    <w:rsid w:val="00E768EA"/>
    <w:rsid w:val="00E76AA8"/>
    <w:rsid w:val="00E76B2B"/>
    <w:rsid w:val="00E774DD"/>
    <w:rsid w:val="00E80BFF"/>
    <w:rsid w:val="00E8234C"/>
    <w:rsid w:val="00E83AA9"/>
    <w:rsid w:val="00E83B3C"/>
    <w:rsid w:val="00E83F88"/>
    <w:rsid w:val="00E84A37"/>
    <w:rsid w:val="00E84D1A"/>
    <w:rsid w:val="00E853D0"/>
    <w:rsid w:val="00E85928"/>
    <w:rsid w:val="00E85DB0"/>
    <w:rsid w:val="00E862F3"/>
    <w:rsid w:val="00E869A1"/>
    <w:rsid w:val="00E87524"/>
    <w:rsid w:val="00E875F8"/>
    <w:rsid w:val="00E87822"/>
    <w:rsid w:val="00E90395"/>
    <w:rsid w:val="00E90E49"/>
    <w:rsid w:val="00E91452"/>
    <w:rsid w:val="00E917F9"/>
    <w:rsid w:val="00E91EF0"/>
    <w:rsid w:val="00E9291C"/>
    <w:rsid w:val="00E93D50"/>
    <w:rsid w:val="00E93FFE"/>
    <w:rsid w:val="00E94341"/>
    <w:rsid w:val="00E94575"/>
    <w:rsid w:val="00E94F8A"/>
    <w:rsid w:val="00E9512E"/>
    <w:rsid w:val="00E959CF"/>
    <w:rsid w:val="00E95F1C"/>
    <w:rsid w:val="00E96A1C"/>
    <w:rsid w:val="00E96B49"/>
    <w:rsid w:val="00E97612"/>
    <w:rsid w:val="00E97AFB"/>
    <w:rsid w:val="00EA243A"/>
    <w:rsid w:val="00EA2EE5"/>
    <w:rsid w:val="00EA2F5B"/>
    <w:rsid w:val="00EA49DF"/>
    <w:rsid w:val="00EA5FF7"/>
    <w:rsid w:val="00EA632D"/>
    <w:rsid w:val="00EA6ED4"/>
    <w:rsid w:val="00EA7A41"/>
    <w:rsid w:val="00EB077B"/>
    <w:rsid w:val="00EB1D21"/>
    <w:rsid w:val="00EB399E"/>
    <w:rsid w:val="00EB4EA2"/>
    <w:rsid w:val="00EB50BE"/>
    <w:rsid w:val="00EB71EA"/>
    <w:rsid w:val="00EB7BFD"/>
    <w:rsid w:val="00EC08EA"/>
    <w:rsid w:val="00EC0A1C"/>
    <w:rsid w:val="00EC13CB"/>
    <w:rsid w:val="00EC27C6"/>
    <w:rsid w:val="00EC29A7"/>
    <w:rsid w:val="00EC2F7B"/>
    <w:rsid w:val="00EC36BF"/>
    <w:rsid w:val="00EC4207"/>
    <w:rsid w:val="00EC46AB"/>
    <w:rsid w:val="00EC5653"/>
    <w:rsid w:val="00EC616F"/>
    <w:rsid w:val="00EC71CE"/>
    <w:rsid w:val="00EC740B"/>
    <w:rsid w:val="00ED0393"/>
    <w:rsid w:val="00ED0E7A"/>
    <w:rsid w:val="00ED1006"/>
    <w:rsid w:val="00ED1895"/>
    <w:rsid w:val="00ED42B3"/>
    <w:rsid w:val="00ED4D1B"/>
    <w:rsid w:val="00ED5012"/>
    <w:rsid w:val="00ED51BF"/>
    <w:rsid w:val="00ED51DE"/>
    <w:rsid w:val="00ED5A72"/>
    <w:rsid w:val="00ED7454"/>
    <w:rsid w:val="00EE4874"/>
    <w:rsid w:val="00EE6075"/>
    <w:rsid w:val="00EE6434"/>
    <w:rsid w:val="00EF0166"/>
    <w:rsid w:val="00EF054D"/>
    <w:rsid w:val="00EF18FE"/>
    <w:rsid w:val="00EF2322"/>
    <w:rsid w:val="00EF240E"/>
    <w:rsid w:val="00EF279B"/>
    <w:rsid w:val="00EF2AF9"/>
    <w:rsid w:val="00EF348C"/>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43D8"/>
    <w:rsid w:val="00F25A9C"/>
    <w:rsid w:val="00F25C10"/>
    <w:rsid w:val="00F2794A"/>
    <w:rsid w:val="00F30099"/>
    <w:rsid w:val="00F30450"/>
    <w:rsid w:val="00F30828"/>
    <w:rsid w:val="00F30D69"/>
    <w:rsid w:val="00F313D6"/>
    <w:rsid w:val="00F32D13"/>
    <w:rsid w:val="00F34567"/>
    <w:rsid w:val="00F345DC"/>
    <w:rsid w:val="00F3530A"/>
    <w:rsid w:val="00F37854"/>
    <w:rsid w:val="00F400E4"/>
    <w:rsid w:val="00F40F0C"/>
    <w:rsid w:val="00F42E71"/>
    <w:rsid w:val="00F43835"/>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26F4"/>
    <w:rsid w:val="00F536D1"/>
    <w:rsid w:val="00F54231"/>
    <w:rsid w:val="00F54328"/>
    <w:rsid w:val="00F55C81"/>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8CC"/>
    <w:rsid w:val="00F64C2B"/>
    <w:rsid w:val="00F650A5"/>
    <w:rsid w:val="00F651BE"/>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C1A"/>
    <w:rsid w:val="00F82F14"/>
    <w:rsid w:val="00F82FD6"/>
    <w:rsid w:val="00F82FDD"/>
    <w:rsid w:val="00F8456C"/>
    <w:rsid w:val="00F8516E"/>
    <w:rsid w:val="00F859D8"/>
    <w:rsid w:val="00F85F5E"/>
    <w:rsid w:val="00F86341"/>
    <w:rsid w:val="00F866D8"/>
    <w:rsid w:val="00F868F5"/>
    <w:rsid w:val="00F86F2E"/>
    <w:rsid w:val="00F90411"/>
    <w:rsid w:val="00F9056A"/>
    <w:rsid w:val="00F90F74"/>
    <w:rsid w:val="00F90F79"/>
    <w:rsid w:val="00F90F8D"/>
    <w:rsid w:val="00F90FFE"/>
    <w:rsid w:val="00F918F7"/>
    <w:rsid w:val="00F925DF"/>
    <w:rsid w:val="00F92782"/>
    <w:rsid w:val="00F93AA9"/>
    <w:rsid w:val="00F95902"/>
    <w:rsid w:val="00F95E69"/>
    <w:rsid w:val="00F96439"/>
    <w:rsid w:val="00F96985"/>
    <w:rsid w:val="00F96BB8"/>
    <w:rsid w:val="00F974A1"/>
    <w:rsid w:val="00F97838"/>
    <w:rsid w:val="00FA0390"/>
    <w:rsid w:val="00FA2BB3"/>
    <w:rsid w:val="00FA2C50"/>
    <w:rsid w:val="00FA2E5B"/>
    <w:rsid w:val="00FA3AAA"/>
    <w:rsid w:val="00FA446D"/>
    <w:rsid w:val="00FA50EC"/>
    <w:rsid w:val="00FA6713"/>
    <w:rsid w:val="00FA768F"/>
    <w:rsid w:val="00FA794B"/>
    <w:rsid w:val="00FB034E"/>
    <w:rsid w:val="00FB0489"/>
    <w:rsid w:val="00FB18CB"/>
    <w:rsid w:val="00FB1DC8"/>
    <w:rsid w:val="00FB2D95"/>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395F"/>
    <w:rsid w:val="00FC43E2"/>
    <w:rsid w:val="00FC5D10"/>
    <w:rsid w:val="00FC6387"/>
    <w:rsid w:val="00FC6636"/>
    <w:rsid w:val="00FC7429"/>
    <w:rsid w:val="00FD060E"/>
    <w:rsid w:val="00FD07F6"/>
    <w:rsid w:val="00FD0845"/>
    <w:rsid w:val="00FD1BE3"/>
    <w:rsid w:val="00FD1EC8"/>
    <w:rsid w:val="00FD37F0"/>
    <w:rsid w:val="00FD47ED"/>
    <w:rsid w:val="00FD4C23"/>
    <w:rsid w:val="00FD5AB9"/>
    <w:rsid w:val="00FD74DB"/>
    <w:rsid w:val="00FD7660"/>
    <w:rsid w:val="00FE0392"/>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253B"/>
    <w:rsid w:val="00FF2DA5"/>
    <w:rsid w:val="00FF2F8B"/>
    <w:rsid w:val="00FF3FDF"/>
    <w:rsid w:val="00FF45A5"/>
    <w:rsid w:val="00FF519D"/>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Pr>
      <w:sz w:val="16"/>
      <w:szCs w:val="16"/>
    </w:rPr>
  </w:style>
  <w:style w:type="character" w:styleId="a5">
    <w:name w:val="Hyperlink"/>
    <w:uiPriority w:val="99"/>
    <w:qFormat/>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link w:val="EQChar"/>
    <w:qFormat/>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uiPriority w:val="99"/>
    <w:qFormat/>
    <w:rsid w:val="002A4B6A"/>
    <w:rPr>
      <w:rFonts w:ascii="Arial" w:hAnsi="Arial"/>
      <w:lang w:val="en-GB"/>
    </w:rPr>
  </w:style>
  <w:style w:type="paragraph" w:customStyle="1" w:styleId="textintend1">
    <w:name w:val="text intend 1"/>
    <w:basedOn w:val="a0"/>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EQChar">
    <w:name w:val="EQ Char"/>
    <w:link w:val="EQ"/>
    <w:qFormat/>
    <w:rsid w:val="004B4EC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tk16923\Documents\3GPP%20Meetings\202211%20-%20RAN2_120,%20Toulouse\Extracts\R2-2213117%20%5bPre120%5d%5b402%5d%5bRelay%5d%20Summary%20of%20agenda%20item%206.7.2.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5C3650-8DE4-4FA7-ADC9-E764C7A0D3F3}">
  <ds:schemaRefs>
    <ds:schemaRef ds:uri="http://schemas.openxmlformats.org/officeDocument/2006/bibliography"/>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CD2B49-6D73-40A0-A4CA-D97B0A748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OPPO1.dotx</Template>
  <TotalTime>230</TotalTime>
  <Pages>3</Pages>
  <Words>1372</Words>
  <Characters>7827</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9181</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(Qianxi Lu)</cp:lastModifiedBy>
  <cp:revision>14</cp:revision>
  <cp:lastPrinted>2008-01-31T16:09:00Z</cp:lastPrinted>
  <dcterms:created xsi:type="dcterms:W3CDTF">2022-09-28T08:41:00Z</dcterms:created>
  <dcterms:modified xsi:type="dcterms:W3CDTF">2023-02-14T01:40:00Z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